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B230E" w14:textId="20A824D2" w:rsidR="00F72F4F" w:rsidRDefault="00510297" w:rsidP="00F72F4F">
      <w:pPr>
        <w:pStyle w:val="CH"/>
      </w:pPr>
      <w:bookmarkStart w:id="0" w:name="historyclause"/>
      <w:r w:rsidRPr="006073EA">
        <w:t>3GPP RAN WG</w:t>
      </w:r>
      <w:r>
        <w:t>4</w:t>
      </w:r>
      <w:r w:rsidRPr="006073EA">
        <w:t xml:space="preserve"> Meeting #</w:t>
      </w:r>
      <w:r>
        <w:t>1</w:t>
      </w:r>
      <w:r w:rsidR="00CC3FFD">
        <w:t>1</w:t>
      </w:r>
      <w:r w:rsidR="00BF6574">
        <w:t>2</w:t>
      </w:r>
      <w:r w:rsidR="00E97F17">
        <w:t>bis</w:t>
      </w:r>
      <w:r w:rsidR="00F72F4F">
        <w:tab/>
      </w:r>
      <w:r w:rsidR="00F72F4F">
        <w:tab/>
      </w:r>
      <w:r w:rsidR="00A942A3" w:rsidRPr="00A942A3">
        <w:t>R4-2415331</w:t>
      </w:r>
    </w:p>
    <w:p w14:paraId="4A8CACC6" w14:textId="68E599C5" w:rsidR="00F72F4F" w:rsidRPr="00FD166F" w:rsidRDefault="00E97F17" w:rsidP="00F72F4F">
      <w:pPr>
        <w:pStyle w:val="CH"/>
        <w:tabs>
          <w:tab w:val="clear" w:pos="7920"/>
        </w:tabs>
        <w:rPr>
          <w:b w:val="0"/>
        </w:rPr>
      </w:pPr>
      <w:r>
        <w:t>Hefei</w:t>
      </w:r>
      <w:r w:rsidR="00727A5D">
        <w:t xml:space="preserve">, </w:t>
      </w:r>
      <w:r>
        <w:t>China</w:t>
      </w:r>
      <w:r w:rsidR="00727A5D">
        <w:t xml:space="preserve">, </w:t>
      </w:r>
      <w:r>
        <w:t>October</w:t>
      </w:r>
      <w:r w:rsidR="00727A5D" w:rsidRPr="00A14D3F">
        <w:t xml:space="preserve"> </w:t>
      </w:r>
      <w:r w:rsidR="00727A5D">
        <w:t>1</w:t>
      </w:r>
      <w:r>
        <w:t>4</w:t>
      </w:r>
      <w:r w:rsidR="00727A5D">
        <w:rPr>
          <w:vertAlign w:val="superscript"/>
        </w:rPr>
        <w:t>th</w:t>
      </w:r>
      <w:r w:rsidR="00727A5D" w:rsidRPr="00A14D3F">
        <w:t xml:space="preserve"> – </w:t>
      </w:r>
      <w:r>
        <w:t>18</w:t>
      </w:r>
      <w:r>
        <w:rPr>
          <w:vertAlign w:val="superscript"/>
        </w:rPr>
        <w:t>th</w:t>
      </w:r>
      <w:r w:rsidR="00727A5D" w:rsidRPr="00A14D3F">
        <w:t>, 202</w:t>
      </w:r>
      <w:r w:rsidR="00727A5D">
        <w:t>4</w:t>
      </w:r>
    </w:p>
    <w:p w14:paraId="39A0EE25" w14:textId="77777777" w:rsidR="00D309CC" w:rsidRDefault="00D309CC" w:rsidP="00D309CC">
      <w:pPr>
        <w:tabs>
          <w:tab w:val="left" w:pos="2160"/>
        </w:tabs>
        <w:rPr>
          <w:rFonts w:ascii="Arial" w:hAnsi="Arial" w:cs="Arial"/>
          <w:b/>
        </w:rPr>
      </w:pPr>
    </w:p>
    <w:p w14:paraId="6DDCE159" w14:textId="3C1D4992" w:rsidR="00D309CC" w:rsidRPr="004D7D9D" w:rsidRDefault="00D309CC" w:rsidP="00D309CC">
      <w:pPr>
        <w:pStyle w:val="CH"/>
        <w:rPr>
          <w:b w:val="0"/>
          <w:bCs/>
        </w:rPr>
      </w:pPr>
      <w:r w:rsidRPr="0008103A">
        <w:t>Agenda item:</w:t>
      </w:r>
      <w:r>
        <w:tab/>
      </w:r>
      <w:r w:rsidR="004538F1">
        <w:t>6.1.1.1.2</w:t>
      </w:r>
    </w:p>
    <w:p w14:paraId="4DBE005A" w14:textId="4DFA2DBD" w:rsidR="00D309CC" w:rsidRPr="0008103A" w:rsidRDefault="00D309CC" w:rsidP="00D309CC">
      <w:pPr>
        <w:pStyle w:val="CH"/>
        <w:rPr>
          <w:b w:val="0"/>
        </w:rPr>
      </w:pPr>
      <w:r>
        <w:t>Source:</w:t>
      </w:r>
      <w:r>
        <w:tab/>
        <w:t>Apple</w:t>
      </w:r>
    </w:p>
    <w:p w14:paraId="0D2061A1" w14:textId="6177C92E" w:rsidR="00D309CC" w:rsidRDefault="00D309CC" w:rsidP="00D6592A">
      <w:pPr>
        <w:pStyle w:val="CH"/>
        <w:ind w:left="2275" w:hanging="2275"/>
      </w:pPr>
      <w:r w:rsidRPr="0008103A">
        <w:t>Title:</w:t>
      </w:r>
      <w:r w:rsidRPr="0008103A">
        <w:tab/>
      </w:r>
      <w:r w:rsidR="00E97F17" w:rsidRPr="00E97F17">
        <w:t>On PSD imbalance for PC1.5 intra-band UL CA MPR evaluations</w:t>
      </w:r>
      <w:r w:rsidR="00EF434A">
        <w:rPr>
          <w:bCs/>
        </w:rPr>
        <w:t xml:space="preserve"> </w:t>
      </w:r>
      <w:r w:rsidR="00D603CA">
        <w:t xml:space="preserve"> </w:t>
      </w:r>
      <w:r w:rsidR="00AC0150">
        <w:t xml:space="preserve"> </w:t>
      </w:r>
    </w:p>
    <w:p w14:paraId="052B1E0C" w14:textId="69990B1B" w:rsidR="00104BC6" w:rsidRDefault="00104BC6" w:rsidP="00D309CC">
      <w:pPr>
        <w:pStyle w:val="CH"/>
      </w:pPr>
      <w:r>
        <w:t>WI/SI:</w:t>
      </w:r>
      <w:r>
        <w:tab/>
      </w:r>
      <w:r w:rsidR="00401FA4" w:rsidRPr="00401FA4">
        <w:rPr>
          <w:lang w:val="en-GB"/>
        </w:rPr>
        <w:t>NR_ENDC_RF_Ph4-Core</w:t>
      </w:r>
    </w:p>
    <w:p w14:paraId="6C6D1281" w14:textId="1174F91B" w:rsidR="00104BC6" w:rsidRDefault="00104BC6" w:rsidP="00D309CC">
      <w:pPr>
        <w:pStyle w:val="CH"/>
        <w:rPr>
          <w:b w:val="0"/>
        </w:rPr>
      </w:pPr>
      <w:r>
        <w:t>Release:</w:t>
      </w:r>
      <w:r>
        <w:tab/>
      </w:r>
      <w:r w:rsidRPr="00261B7C">
        <w:t>Rel-</w:t>
      </w:r>
      <w:r w:rsidR="00261B7C">
        <w:t>1</w:t>
      </w:r>
      <w:r w:rsidR="00401FA4">
        <w:t>9</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32824C0C" w14:textId="224D5F17" w:rsidR="00403FF3" w:rsidRDefault="00620C82" w:rsidP="002B20B0">
      <w:pPr>
        <w:spacing w:after="180"/>
        <w:jc w:val="both"/>
        <w:rPr>
          <w:rFonts w:ascii="Arial" w:hAnsi="Arial" w:cs="Arial"/>
          <w:sz w:val="20"/>
          <w:szCs w:val="20"/>
        </w:rPr>
      </w:pPr>
      <w:r>
        <w:rPr>
          <w:rFonts w:ascii="Arial" w:hAnsi="Arial" w:cs="Arial"/>
          <w:sz w:val="20"/>
          <w:szCs w:val="20"/>
        </w:rPr>
        <w:t xml:space="preserve">The </w:t>
      </w:r>
      <w:r w:rsidR="00B504F7" w:rsidRPr="00B504F7">
        <w:rPr>
          <w:rFonts w:ascii="Arial" w:hAnsi="Arial" w:cs="Arial"/>
          <w:sz w:val="20"/>
          <w:szCs w:val="20"/>
        </w:rPr>
        <w:t xml:space="preserve">Rel-19 RAN4 non-spectrum WID/SID package </w:t>
      </w:r>
      <w:r w:rsidR="00B504F7">
        <w:rPr>
          <w:rFonts w:ascii="Arial" w:hAnsi="Arial" w:cs="Arial"/>
          <w:sz w:val="20"/>
          <w:szCs w:val="20"/>
        </w:rPr>
        <w:t>has been</w:t>
      </w:r>
      <w:r w:rsidR="00B504F7" w:rsidRPr="00B504F7">
        <w:rPr>
          <w:rFonts w:ascii="Arial" w:hAnsi="Arial" w:cs="Arial"/>
          <w:sz w:val="20"/>
          <w:szCs w:val="20"/>
        </w:rPr>
        <w:t xml:space="preserve"> approved in RAN #103 meeting</w:t>
      </w:r>
      <w:r w:rsidR="00DE0987">
        <w:rPr>
          <w:rFonts w:ascii="Arial" w:hAnsi="Arial" w:cs="Arial"/>
          <w:sz w:val="20"/>
          <w:szCs w:val="20"/>
        </w:rPr>
        <w:t xml:space="preserve">. </w:t>
      </w:r>
      <w:r>
        <w:rPr>
          <w:rFonts w:ascii="Arial" w:hAnsi="Arial" w:cs="Arial"/>
          <w:sz w:val="20"/>
          <w:szCs w:val="20"/>
        </w:rPr>
        <w:t>In consideration</w:t>
      </w:r>
      <w:r w:rsidR="003869F7" w:rsidRPr="003869F7">
        <w:rPr>
          <w:rFonts w:ascii="Arial" w:hAnsi="Arial" w:cs="Arial"/>
          <w:sz w:val="20"/>
          <w:szCs w:val="20"/>
        </w:rPr>
        <w:t xml:space="preserve"> that the uplink coverage is crucial for 5G and 5G-adavanced roll-out</w:t>
      </w:r>
      <w:r w:rsidR="00DE0987">
        <w:rPr>
          <w:rFonts w:ascii="Arial" w:hAnsi="Arial" w:cs="Arial"/>
          <w:sz w:val="20"/>
          <w:szCs w:val="20"/>
        </w:rPr>
        <w:t xml:space="preserve"> </w:t>
      </w:r>
      <w:r w:rsidR="003869F7">
        <w:rPr>
          <w:rFonts w:ascii="Arial" w:hAnsi="Arial" w:cs="Arial"/>
          <w:sz w:val="20"/>
          <w:szCs w:val="20"/>
        </w:rPr>
        <w:t xml:space="preserve">and the </w:t>
      </w:r>
      <w:r w:rsidR="00403FF3">
        <w:rPr>
          <w:rFonts w:ascii="Arial" w:hAnsi="Arial" w:cs="Arial"/>
          <w:sz w:val="20"/>
          <w:szCs w:val="20"/>
        </w:rPr>
        <w:t xml:space="preserve">continued strong interests from operators in higher UE maximum output power such as PC1.5 for their </w:t>
      </w:r>
      <w:r w:rsidR="00B504F7">
        <w:rPr>
          <w:rFonts w:ascii="Arial" w:hAnsi="Arial" w:cs="Arial"/>
          <w:sz w:val="20"/>
          <w:szCs w:val="20"/>
        </w:rPr>
        <w:t xml:space="preserve">band </w:t>
      </w:r>
      <w:r w:rsidR="00403FF3">
        <w:rPr>
          <w:rFonts w:ascii="Arial" w:hAnsi="Arial" w:cs="Arial"/>
          <w:sz w:val="20"/>
          <w:szCs w:val="20"/>
        </w:rPr>
        <w:t>combinations, o</w:t>
      </w:r>
      <w:r w:rsidR="00403FF3" w:rsidRPr="00403FF3">
        <w:rPr>
          <w:rFonts w:ascii="Arial" w:hAnsi="Arial" w:cs="Arial"/>
          <w:sz w:val="20"/>
          <w:szCs w:val="20"/>
        </w:rPr>
        <w:t>ne of the key objectives under the</w:t>
      </w:r>
      <w:r w:rsidR="00403FF3">
        <w:rPr>
          <w:rFonts w:ascii="Arial" w:hAnsi="Arial" w:cs="Arial"/>
          <w:sz w:val="20"/>
          <w:szCs w:val="20"/>
        </w:rPr>
        <w:t xml:space="preserve"> new Rel-19</w:t>
      </w:r>
      <w:r w:rsidR="00403FF3" w:rsidRPr="00403FF3">
        <w:rPr>
          <w:rFonts w:ascii="Arial" w:hAnsi="Arial" w:cs="Arial"/>
          <w:sz w:val="20"/>
          <w:szCs w:val="20"/>
        </w:rPr>
        <w:t xml:space="preserve"> “UE RF enhancements for NR FR1/FR2 and EN-DC, Phase 4” work item </w:t>
      </w:r>
      <w:r w:rsidR="00B9016C">
        <w:rPr>
          <w:rFonts w:ascii="Arial" w:hAnsi="Arial" w:cs="Arial"/>
          <w:sz w:val="20"/>
          <w:szCs w:val="20"/>
        </w:rPr>
        <w:t>[</w:t>
      </w:r>
      <w:r w:rsidR="00B504F7">
        <w:rPr>
          <w:rFonts w:ascii="Arial" w:hAnsi="Arial" w:cs="Arial"/>
          <w:sz w:val="20"/>
          <w:szCs w:val="20"/>
        </w:rPr>
        <w:t>1</w:t>
      </w:r>
      <w:r w:rsidR="00B9016C">
        <w:rPr>
          <w:rFonts w:ascii="Arial" w:hAnsi="Arial" w:cs="Arial"/>
          <w:sz w:val="20"/>
          <w:szCs w:val="20"/>
        </w:rPr>
        <w:t xml:space="preserve">] </w:t>
      </w:r>
      <w:r w:rsidR="00403FF3" w:rsidRPr="00403FF3">
        <w:rPr>
          <w:rFonts w:ascii="Arial" w:hAnsi="Arial" w:cs="Arial"/>
          <w:sz w:val="20"/>
          <w:szCs w:val="20"/>
        </w:rPr>
        <w:t>is to specify the generic requirements of HPUE for NR uplink CA in FR1 and EN-DC with NR FR1 bands</w:t>
      </w:r>
      <w:r w:rsidR="00403FF3">
        <w:rPr>
          <w:rFonts w:ascii="Arial" w:hAnsi="Arial" w:cs="Arial"/>
          <w:sz w:val="20"/>
          <w:szCs w:val="20"/>
        </w:rPr>
        <w:t xml:space="preserve"> where the features include,</w:t>
      </w:r>
    </w:p>
    <w:p w14:paraId="3CCD6A2E" w14:textId="77777777" w:rsidR="002B20B0" w:rsidRP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 xml:space="preserve">PC1.5 for intra-band contiguous UL CA with and without UL MIMO </w:t>
      </w:r>
    </w:p>
    <w:p w14:paraId="2F6F4E7D" w14:textId="320F19A6" w:rsidR="002B20B0" w:rsidRPr="002B20B0" w:rsidRDefault="00EC14B1" w:rsidP="00B0024C">
      <w:pPr>
        <w:numPr>
          <w:ilvl w:val="2"/>
          <w:numId w:val="30"/>
        </w:numPr>
        <w:spacing w:after="80"/>
        <w:ind w:left="576" w:hanging="288"/>
        <w:jc w:val="both"/>
        <w:rPr>
          <w:rFonts w:ascii="Arial" w:hAnsi="Arial" w:cs="Arial"/>
          <w:sz w:val="20"/>
          <w:szCs w:val="20"/>
        </w:rPr>
      </w:pPr>
      <w:r>
        <w:rPr>
          <w:rFonts w:ascii="Arial" w:hAnsi="Arial" w:cs="Arial"/>
          <w:sz w:val="20"/>
          <w:szCs w:val="20"/>
        </w:rPr>
        <w:t xml:space="preserve">PC1.5 </w:t>
      </w:r>
      <w:r w:rsidR="002B20B0" w:rsidRPr="002B20B0">
        <w:rPr>
          <w:rFonts w:ascii="Arial" w:hAnsi="Arial" w:cs="Arial"/>
          <w:sz w:val="20"/>
          <w:szCs w:val="20"/>
        </w:rPr>
        <w:t>Intra-band non-contiguous UL CA without UL MIMO</w:t>
      </w:r>
    </w:p>
    <w:p w14:paraId="5C22DAD7" w14:textId="77777777" w:rsidR="002B20B0" w:rsidRP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PC1.5 2-band inter-band UL CA with 2Tx or 3Tx for handheld UE and FWA</w:t>
      </w:r>
    </w:p>
    <w:p w14:paraId="5551249C" w14:textId="77777777" w:rsid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PC2 and PC1.5 2-band inter-band EN-DC with 2Tx or 3Tx for handheld UE and FWA UE</w:t>
      </w:r>
    </w:p>
    <w:p w14:paraId="798B9BF0" w14:textId="2D94E7C6" w:rsidR="002B20B0" w:rsidRDefault="002B20B0" w:rsidP="002B20B0">
      <w:pPr>
        <w:numPr>
          <w:ilvl w:val="2"/>
          <w:numId w:val="30"/>
        </w:numPr>
        <w:ind w:left="576" w:hanging="288"/>
        <w:jc w:val="both"/>
        <w:rPr>
          <w:rFonts w:ascii="Arial" w:hAnsi="Arial" w:cs="Arial"/>
          <w:sz w:val="20"/>
          <w:szCs w:val="20"/>
        </w:rPr>
      </w:pPr>
      <w:r w:rsidRPr="002B20B0">
        <w:rPr>
          <w:rFonts w:ascii="Arial" w:hAnsi="Arial" w:cs="Arial"/>
          <w:sz w:val="20"/>
          <w:szCs w:val="20"/>
        </w:rPr>
        <w:t xml:space="preserve">Increasing UE transmission power limit up to the sum of maximum output power per band for NR inter-band </w:t>
      </w:r>
      <w:r w:rsidR="00D47831">
        <w:rPr>
          <w:rFonts w:ascii="Arial" w:hAnsi="Arial" w:cs="Arial"/>
          <w:sz w:val="20"/>
          <w:szCs w:val="20"/>
        </w:rPr>
        <w:t xml:space="preserve">UL </w:t>
      </w:r>
      <w:r w:rsidRPr="002B20B0">
        <w:rPr>
          <w:rFonts w:ascii="Arial" w:hAnsi="Arial" w:cs="Arial"/>
          <w:sz w:val="20"/>
          <w:szCs w:val="20"/>
        </w:rPr>
        <w:t>CA and EN-DC HPUE</w:t>
      </w:r>
    </w:p>
    <w:p w14:paraId="215CC401" w14:textId="77777777" w:rsidR="002B20B0" w:rsidRDefault="008A07D9" w:rsidP="002B20B0">
      <w:pPr>
        <w:jc w:val="both"/>
        <w:rPr>
          <w:rFonts w:ascii="Arial" w:hAnsi="Arial" w:cs="Arial"/>
          <w:sz w:val="20"/>
          <w:szCs w:val="20"/>
        </w:rPr>
      </w:pPr>
      <w:r w:rsidRPr="002B20B0">
        <w:rPr>
          <w:rFonts w:ascii="Arial" w:hAnsi="Arial" w:cs="Arial"/>
          <w:sz w:val="20"/>
          <w:szCs w:val="20"/>
        </w:rPr>
        <w:t xml:space="preserve"> </w:t>
      </w:r>
    </w:p>
    <w:p w14:paraId="005183B1" w14:textId="7602BA2E" w:rsidR="009B4165" w:rsidRDefault="00620C82" w:rsidP="00A117D6">
      <w:pPr>
        <w:spacing w:after="120"/>
        <w:jc w:val="both"/>
        <w:rPr>
          <w:rFonts w:ascii="Arial" w:hAnsi="Arial" w:cs="Arial"/>
          <w:sz w:val="20"/>
          <w:szCs w:val="20"/>
        </w:rPr>
      </w:pPr>
      <w:r>
        <w:rPr>
          <w:rFonts w:ascii="Arial" w:hAnsi="Arial" w:cs="Arial"/>
          <w:sz w:val="20"/>
          <w:szCs w:val="20"/>
        </w:rPr>
        <w:t xml:space="preserve">In last RAN4 meeting, companies had provided their </w:t>
      </w:r>
      <w:r w:rsidR="00BF6574">
        <w:rPr>
          <w:rFonts w:ascii="Arial" w:hAnsi="Arial" w:cs="Arial"/>
          <w:sz w:val="20"/>
          <w:szCs w:val="20"/>
        </w:rPr>
        <w:t>further</w:t>
      </w:r>
      <w:r>
        <w:rPr>
          <w:rFonts w:ascii="Arial" w:hAnsi="Arial" w:cs="Arial"/>
          <w:sz w:val="20"/>
          <w:szCs w:val="20"/>
        </w:rPr>
        <w:t xml:space="preserve"> views on the respective features above where the </w:t>
      </w:r>
      <w:r w:rsidR="00E97F17">
        <w:rPr>
          <w:rFonts w:ascii="Arial" w:hAnsi="Arial" w:cs="Arial"/>
          <w:sz w:val="20"/>
          <w:szCs w:val="20"/>
        </w:rPr>
        <w:t>additional agreements</w:t>
      </w:r>
      <w:r>
        <w:rPr>
          <w:rFonts w:ascii="Arial" w:hAnsi="Arial" w:cs="Arial"/>
          <w:sz w:val="20"/>
          <w:szCs w:val="20"/>
        </w:rPr>
        <w:t xml:space="preserve"> were </w:t>
      </w:r>
      <w:r w:rsidR="00E97F17">
        <w:rPr>
          <w:rFonts w:ascii="Arial" w:hAnsi="Arial" w:cs="Arial"/>
          <w:sz w:val="20"/>
          <w:szCs w:val="20"/>
        </w:rPr>
        <w:t>captured</w:t>
      </w:r>
      <w:r>
        <w:rPr>
          <w:rFonts w:ascii="Arial" w:hAnsi="Arial" w:cs="Arial"/>
          <w:sz w:val="20"/>
          <w:szCs w:val="20"/>
        </w:rPr>
        <w:t xml:space="preserve"> </w:t>
      </w:r>
      <w:r w:rsidR="00E97F17">
        <w:rPr>
          <w:rFonts w:ascii="Arial" w:hAnsi="Arial" w:cs="Arial"/>
          <w:sz w:val="20"/>
          <w:szCs w:val="20"/>
        </w:rPr>
        <w:t>in</w:t>
      </w:r>
      <w:r>
        <w:rPr>
          <w:rFonts w:ascii="Arial" w:hAnsi="Arial" w:cs="Arial"/>
          <w:sz w:val="20"/>
          <w:szCs w:val="20"/>
        </w:rPr>
        <w:t xml:space="preserve"> </w:t>
      </w:r>
      <w:r w:rsidR="00E97F17">
        <w:rPr>
          <w:rFonts w:ascii="Arial" w:hAnsi="Arial" w:cs="Arial"/>
          <w:sz w:val="20"/>
          <w:szCs w:val="20"/>
        </w:rPr>
        <w:t>the</w:t>
      </w:r>
      <w:r>
        <w:rPr>
          <w:rFonts w:ascii="Arial" w:hAnsi="Arial" w:cs="Arial"/>
          <w:sz w:val="20"/>
          <w:szCs w:val="20"/>
        </w:rPr>
        <w:t xml:space="preserve"> approved </w:t>
      </w:r>
      <w:r w:rsidR="00BF6574">
        <w:rPr>
          <w:rFonts w:ascii="Arial" w:hAnsi="Arial" w:cs="Arial"/>
          <w:sz w:val="20"/>
          <w:szCs w:val="20"/>
        </w:rPr>
        <w:t>“</w:t>
      </w:r>
      <w:r w:rsidR="00E97F17" w:rsidRPr="00E97F17">
        <w:rPr>
          <w:rFonts w:ascii="Arial" w:hAnsi="Arial" w:cs="Arial"/>
          <w:sz w:val="20"/>
          <w:szCs w:val="20"/>
        </w:rPr>
        <w:t>WF on HPUE for CA in TN</w:t>
      </w:r>
      <w:r w:rsidR="00B0024C">
        <w:rPr>
          <w:rFonts w:ascii="Arial" w:hAnsi="Arial" w:cs="Arial"/>
          <w:sz w:val="20"/>
          <w:szCs w:val="20"/>
        </w:rPr>
        <w:t>” [2].</w:t>
      </w:r>
      <w:r w:rsidR="00727A5D">
        <w:rPr>
          <w:rFonts w:ascii="Arial" w:hAnsi="Arial" w:cs="Arial"/>
          <w:sz w:val="20"/>
          <w:szCs w:val="20"/>
        </w:rPr>
        <w:t xml:space="preserve"> For PC1.5 intra-band UL CA, RAN4 has agreed to evaluate MPR </w:t>
      </w:r>
      <w:r w:rsidR="00E97F17">
        <w:rPr>
          <w:rFonts w:ascii="Arial" w:hAnsi="Arial" w:cs="Arial"/>
          <w:sz w:val="20"/>
          <w:szCs w:val="20"/>
        </w:rPr>
        <w:t>only base</w:t>
      </w:r>
      <w:r w:rsidR="00D87CEF">
        <w:rPr>
          <w:rFonts w:ascii="Arial" w:hAnsi="Arial" w:cs="Arial"/>
          <w:sz w:val="20"/>
          <w:szCs w:val="20"/>
        </w:rPr>
        <w:t>d</w:t>
      </w:r>
      <w:r w:rsidR="00E97F17">
        <w:rPr>
          <w:rFonts w:ascii="Arial" w:hAnsi="Arial" w:cs="Arial"/>
          <w:sz w:val="20"/>
          <w:szCs w:val="20"/>
        </w:rPr>
        <w:t xml:space="preserve"> on TxD architecture </w:t>
      </w:r>
      <w:r w:rsidR="00727A5D">
        <w:rPr>
          <w:rFonts w:ascii="Arial" w:hAnsi="Arial" w:cs="Arial"/>
          <w:sz w:val="20"/>
          <w:szCs w:val="20"/>
        </w:rPr>
        <w:t>for contiguous UL CA</w:t>
      </w:r>
      <w:r w:rsidR="00D87CEF">
        <w:rPr>
          <w:rFonts w:ascii="Arial" w:hAnsi="Arial" w:cs="Arial"/>
          <w:sz w:val="20"/>
          <w:szCs w:val="20"/>
        </w:rPr>
        <w:t>, while for non-contiguous UL CA</w:t>
      </w:r>
      <w:r w:rsidR="001A7202">
        <w:rPr>
          <w:rFonts w:ascii="Arial" w:hAnsi="Arial" w:cs="Arial"/>
          <w:sz w:val="20"/>
          <w:szCs w:val="20"/>
        </w:rPr>
        <w:t>,</w:t>
      </w:r>
      <w:r w:rsidR="00D87CEF">
        <w:rPr>
          <w:rFonts w:ascii="Arial" w:hAnsi="Arial" w:cs="Arial"/>
          <w:sz w:val="20"/>
          <w:szCs w:val="20"/>
        </w:rPr>
        <w:t xml:space="preserve"> only dualPA architecture would be considered</w:t>
      </w:r>
      <w:r w:rsidR="00727A5D">
        <w:rPr>
          <w:rFonts w:ascii="Arial" w:hAnsi="Arial" w:cs="Arial"/>
          <w:sz w:val="20"/>
          <w:szCs w:val="20"/>
        </w:rPr>
        <w:t>.</w:t>
      </w:r>
      <w:r w:rsidR="00B0024C">
        <w:rPr>
          <w:rFonts w:ascii="Arial" w:hAnsi="Arial" w:cs="Arial"/>
          <w:sz w:val="20"/>
          <w:szCs w:val="20"/>
        </w:rPr>
        <w:t xml:space="preserve"> </w:t>
      </w:r>
      <w:r w:rsidR="009B4165">
        <w:rPr>
          <w:rFonts w:ascii="Arial" w:hAnsi="Arial" w:cs="Arial"/>
          <w:sz w:val="20"/>
          <w:szCs w:val="20"/>
        </w:rPr>
        <w:t>Additiona</w:t>
      </w:r>
      <w:r w:rsidR="00C4751A">
        <w:rPr>
          <w:rFonts w:ascii="Arial" w:hAnsi="Arial" w:cs="Arial"/>
          <w:sz w:val="20"/>
          <w:szCs w:val="20"/>
        </w:rPr>
        <w:t>lly</w:t>
      </w:r>
      <w:r w:rsidR="001A7202">
        <w:rPr>
          <w:rFonts w:ascii="Arial" w:hAnsi="Arial" w:cs="Arial"/>
          <w:sz w:val="20"/>
          <w:szCs w:val="20"/>
        </w:rPr>
        <w:t xml:space="preserve">, the MPR evaluations may account for PSD imbalance </w:t>
      </w:r>
      <w:r w:rsidR="00C4751A">
        <w:rPr>
          <w:rFonts w:ascii="Arial" w:hAnsi="Arial" w:cs="Arial"/>
          <w:sz w:val="20"/>
          <w:szCs w:val="20"/>
        </w:rPr>
        <w:t xml:space="preserve">with </w:t>
      </w:r>
      <w:r w:rsidR="001A7202">
        <w:rPr>
          <w:rFonts w:ascii="Arial" w:hAnsi="Arial" w:cs="Arial"/>
          <w:sz w:val="20"/>
          <w:szCs w:val="20"/>
        </w:rPr>
        <w:t xml:space="preserve">up to 6 dB </w:t>
      </w:r>
      <w:r w:rsidR="00C4751A">
        <w:rPr>
          <w:rFonts w:ascii="Arial" w:hAnsi="Arial" w:cs="Arial"/>
          <w:sz w:val="20"/>
          <w:szCs w:val="20"/>
        </w:rPr>
        <w:t xml:space="preserve">between the two carriers </w:t>
      </w:r>
      <w:r w:rsidR="001A7202">
        <w:rPr>
          <w:rFonts w:ascii="Arial" w:hAnsi="Arial" w:cs="Arial"/>
          <w:sz w:val="20"/>
          <w:szCs w:val="20"/>
        </w:rPr>
        <w:t xml:space="preserve">for both contiguous and non-contiguous configurations and whether to define requirements based on equal PSD </w:t>
      </w:r>
      <w:r w:rsidR="009B4165">
        <w:rPr>
          <w:rFonts w:ascii="Arial" w:hAnsi="Arial" w:cs="Arial"/>
          <w:sz w:val="20"/>
          <w:szCs w:val="20"/>
        </w:rPr>
        <w:t>or with PSD imbalance is subject to further studies.</w:t>
      </w:r>
      <w:r w:rsidR="001A7202">
        <w:rPr>
          <w:rFonts w:ascii="Arial" w:hAnsi="Arial" w:cs="Arial"/>
          <w:sz w:val="20"/>
          <w:szCs w:val="20"/>
        </w:rPr>
        <w:t xml:space="preserve"> </w:t>
      </w:r>
    </w:p>
    <w:p w14:paraId="750D3A2C" w14:textId="77777777" w:rsidR="009B4165" w:rsidRDefault="009B4165" w:rsidP="009B4165">
      <w:pPr>
        <w:jc w:val="both"/>
        <w:rPr>
          <w:rFonts w:ascii="Arial" w:hAnsi="Arial" w:cs="Arial"/>
          <w:sz w:val="20"/>
          <w:szCs w:val="20"/>
        </w:rPr>
      </w:pPr>
    </w:p>
    <w:p w14:paraId="06E92CC7" w14:textId="6061A02F" w:rsidR="008E7986" w:rsidRPr="002B20B0" w:rsidRDefault="002B11CC" w:rsidP="00A117D6">
      <w:pPr>
        <w:spacing w:after="120"/>
        <w:jc w:val="both"/>
        <w:rPr>
          <w:rFonts w:ascii="Arial" w:hAnsi="Arial" w:cs="Arial"/>
          <w:sz w:val="20"/>
          <w:szCs w:val="20"/>
        </w:rPr>
      </w:pPr>
      <w:r>
        <w:rPr>
          <w:rFonts w:ascii="Arial" w:hAnsi="Arial" w:cs="Arial"/>
          <w:sz w:val="20"/>
          <w:szCs w:val="20"/>
        </w:rPr>
        <w:t>In this contribution,</w:t>
      </w:r>
      <w:r w:rsidR="009B4165">
        <w:rPr>
          <w:rFonts w:ascii="Arial" w:hAnsi="Arial" w:cs="Arial"/>
          <w:sz w:val="20"/>
          <w:szCs w:val="20"/>
        </w:rPr>
        <w:t xml:space="preserve"> we share our views on </w:t>
      </w:r>
      <w:r w:rsidR="009B4165" w:rsidRPr="009B4165">
        <w:rPr>
          <w:rFonts w:ascii="Arial" w:hAnsi="Arial" w:cs="Arial"/>
          <w:sz w:val="20"/>
          <w:szCs w:val="20"/>
        </w:rPr>
        <w:t>PSD imbalance for PC1.5 intra-band UL CA MPR evaluations</w:t>
      </w:r>
      <w:r w:rsidR="00A117D6">
        <w:rPr>
          <w:rFonts w:ascii="Arial" w:hAnsi="Arial" w:cs="Arial"/>
          <w:sz w:val="20"/>
          <w:szCs w:val="20"/>
        </w:rPr>
        <w:t xml:space="preserve"> </w:t>
      </w:r>
      <w:r w:rsidR="009B4165">
        <w:rPr>
          <w:rFonts w:ascii="Arial" w:hAnsi="Arial" w:cs="Arial"/>
          <w:sz w:val="20"/>
          <w:szCs w:val="20"/>
        </w:rPr>
        <w:t>and propose that</w:t>
      </w:r>
      <w:r w:rsidR="00C4751A">
        <w:rPr>
          <w:rFonts w:ascii="Arial" w:hAnsi="Arial" w:cs="Arial"/>
          <w:sz w:val="20"/>
          <w:szCs w:val="20"/>
        </w:rPr>
        <w:t xml:space="preserve"> </w:t>
      </w:r>
      <w:r w:rsidR="00271FFB">
        <w:rPr>
          <w:rFonts w:ascii="Arial" w:hAnsi="Arial" w:cs="Arial"/>
          <w:sz w:val="20"/>
          <w:szCs w:val="20"/>
        </w:rPr>
        <w:t xml:space="preserve">for contiguous UL CA, </w:t>
      </w:r>
      <w:r w:rsidR="00C4751A">
        <w:rPr>
          <w:rFonts w:ascii="Arial" w:hAnsi="Arial" w:cs="Arial"/>
          <w:sz w:val="20"/>
          <w:szCs w:val="20"/>
        </w:rPr>
        <w:t xml:space="preserve">MPR requirements are only </w:t>
      </w:r>
      <w:r w:rsidR="00271FFB">
        <w:rPr>
          <w:rFonts w:ascii="Arial" w:hAnsi="Arial" w:cs="Arial"/>
          <w:sz w:val="20"/>
          <w:szCs w:val="20"/>
        </w:rPr>
        <w:t xml:space="preserve">evaluated and </w:t>
      </w:r>
      <w:r w:rsidR="00C4751A">
        <w:rPr>
          <w:rFonts w:ascii="Arial" w:hAnsi="Arial" w:cs="Arial"/>
          <w:sz w:val="20"/>
          <w:szCs w:val="20"/>
        </w:rPr>
        <w:t>specified based on equal PSD between the two</w:t>
      </w:r>
      <w:r w:rsidR="00271FFB">
        <w:rPr>
          <w:rFonts w:ascii="Arial" w:hAnsi="Arial" w:cs="Arial"/>
          <w:sz w:val="20"/>
          <w:szCs w:val="20"/>
        </w:rPr>
        <w:t xml:space="preserve"> carriers. </w:t>
      </w:r>
      <w:r w:rsidR="00C4751A">
        <w:rPr>
          <w:rFonts w:ascii="Arial" w:hAnsi="Arial" w:cs="Arial"/>
          <w:sz w:val="20"/>
          <w:szCs w:val="20"/>
        </w:rPr>
        <w:t xml:space="preserve">  </w:t>
      </w:r>
      <w:r w:rsidR="009B4165">
        <w:rPr>
          <w:rFonts w:ascii="Arial" w:hAnsi="Arial" w:cs="Arial"/>
          <w:sz w:val="20"/>
          <w:szCs w:val="20"/>
        </w:rPr>
        <w:t xml:space="preserve"> </w:t>
      </w:r>
      <w:r w:rsidR="00493A70">
        <w:rPr>
          <w:rFonts w:ascii="Arial" w:hAnsi="Arial" w:cs="Arial"/>
          <w:sz w:val="20"/>
          <w:szCs w:val="20"/>
        </w:rPr>
        <w:t xml:space="preserve"> </w:t>
      </w:r>
      <w:r w:rsidR="00B0024C">
        <w:rPr>
          <w:rFonts w:ascii="Arial" w:hAnsi="Arial" w:cs="Arial"/>
          <w:sz w:val="20"/>
          <w:szCs w:val="20"/>
        </w:rPr>
        <w:t xml:space="preserve">  </w:t>
      </w:r>
      <w:r w:rsidR="006261A9">
        <w:rPr>
          <w:rFonts w:ascii="Arial" w:hAnsi="Arial" w:cs="Arial"/>
          <w:sz w:val="20"/>
          <w:szCs w:val="20"/>
        </w:rPr>
        <w:t xml:space="preserve">     </w:t>
      </w:r>
      <w:r w:rsidR="00FF187D" w:rsidRPr="002B20B0">
        <w:rPr>
          <w:rFonts w:ascii="Arial" w:hAnsi="Arial" w:cs="Arial"/>
          <w:sz w:val="20"/>
          <w:szCs w:val="20"/>
        </w:rPr>
        <w:t xml:space="preserve"> </w:t>
      </w:r>
      <w:r w:rsidR="00415661" w:rsidRPr="002B20B0">
        <w:rPr>
          <w:rFonts w:ascii="Arial" w:hAnsi="Arial" w:cs="Arial"/>
          <w:sz w:val="20"/>
          <w:szCs w:val="20"/>
        </w:rPr>
        <w:t xml:space="preserve">   </w:t>
      </w:r>
      <w:r w:rsidR="00210031" w:rsidRPr="002B20B0">
        <w:rPr>
          <w:rFonts w:ascii="Arial" w:hAnsi="Arial" w:cs="Arial"/>
          <w:sz w:val="20"/>
          <w:szCs w:val="20"/>
        </w:rPr>
        <w:t xml:space="preserve"> </w:t>
      </w:r>
      <w:r w:rsidR="00D237ED" w:rsidRPr="002B20B0">
        <w:rPr>
          <w:rFonts w:ascii="Arial" w:hAnsi="Arial" w:cs="Arial"/>
          <w:sz w:val="20"/>
          <w:szCs w:val="20"/>
        </w:rPr>
        <w:t xml:space="preserve">   </w:t>
      </w:r>
      <w:r w:rsidR="003B61AB" w:rsidRPr="002B20B0">
        <w:rPr>
          <w:rFonts w:ascii="Arial" w:hAnsi="Arial" w:cs="Arial"/>
          <w:sz w:val="20"/>
          <w:szCs w:val="20"/>
        </w:rPr>
        <w:t xml:space="preserve"> </w:t>
      </w:r>
      <w:r w:rsidR="00291A2A" w:rsidRPr="002B20B0">
        <w:rPr>
          <w:rFonts w:ascii="Arial" w:hAnsi="Arial" w:cs="Arial"/>
          <w:sz w:val="20"/>
          <w:szCs w:val="20"/>
        </w:rPr>
        <w:t xml:space="preserve">   </w:t>
      </w:r>
      <w:r w:rsidR="002A195A" w:rsidRPr="002B20B0">
        <w:rPr>
          <w:rFonts w:ascii="Arial" w:hAnsi="Arial" w:cs="Arial"/>
          <w:sz w:val="20"/>
          <w:szCs w:val="20"/>
        </w:rPr>
        <w:t xml:space="preserve">   </w:t>
      </w:r>
      <w:r w:rsidR="00122D29" w:rsidRPr="002B20B0">
        <w:rPr>
          <w:rFonts w:ascii="Arial" w:hAnsi="Arial" w:cs="Arial"/>
          <w:sz w:val="20"/>
          <w:szCs w:val="20"/>
        </w:rPr>
        <w:t xml:space="preserve">  </w:t>
      </w:r>
      <w:r w:rsidR="00065297" w:rsidRPr="002B20B0">
        <w:rPr>
          <w:rFonts w:ascii="Arial" w:hAnsi="Arial" w:cs="Arial"/>
          <w:sz w:val="20"/>
          <w:szCs w:val="20"/>
        </w:rPr>
        <w:t xml:space="preserve"> </w:t>
      </w:r>
      <w:r w:rsidR="007D7EEC" w:rsidRPr="002B20B0">
        <w:rPr>
          <w:rFonts w:ascii="Arial" w:hAnsi="Arial" w:cs="Arial"/>
          <w:sz w:val="20"/>
          <w:szCs w:val="20"/>
        </w:rPr>
        <w:t xml:space="preserve"> </w:t>
      </w:r>
      <w:r w:rsidR="00852D30" w:rsidRPr="002B20B0">
        <w:rPr>
          <w:rFonts w:ascii="Arial" w:hAnsi="Arial" w:cs="Arial"/>
          <w:sz w:val="20"/>
          <w:szCs w:val="20"/>
        </w:rPr>
        <w:t xml:space="preserve"> </w:t>
      </w:r>
      <w:r w:rsidR="00B92FE4" w:rsidRPr="002B20B0">
        <w:rPr>
          <w:rFonts w:ascii="Arial" w:hAnsi="Arial" w:cs="Arial"/>
          <w:sz w:val="20"/>
          <w:szCs w:val="20"/>
        </w:rPr>
        <w:t xml:space="preserve">   </w:t>
      </w:r>
      <w:r w:rsidR="00D83D56" w:rsidRPr="002B20B0">
        <w:rPr>
          <w:rFonts w:ascii="Arial" w:hAnsi="Arial" w:cs="Arial"/>
          <w:sz w:val="20"/>
          <w:szCs w:val="20"/>
        </w:rPr>
        <w:t xml:space="preserve"> </w:t>
      </w:r>
      <w:r w:rsidR="00E808A6" w:rsidRPr="002B20B0">
        <w:rPr>
          <w:rFonts w:ascii="Arial" w:hAnsi="Arial" w:cs="Arial"/>
          <w:sz w:val="20"/>
          <w:szCs w:val="20"/>
        </w:rPr>
        <w:t xml:space="preserve">  </w:t>
      </w:r>
      <w:r w:rsidR="00DE1BDE" w:rsidRPr="002B20B0">
        <w:rPr>
          <w:rFonts w:ascii="Arial" w:hAnsi="Arial" w:cs="Arial"/>
          <w:sz w:val="20"/>
          <w:szCs w:val="20"/>
        </w:rPr>
        <w:t xml:space="preserve"> </w:t>
      </w:r>
      <w:r w:rsidR="00A15F2F" w:rsidRPr="002B20B0">
        <w:rPr>
          <w:rFonts w:ascii="Arial" w:hAnsi="Arial" w:cs="Arial"/>
          <w:sz w:val="20"/>
          <w:szCs w:val="20"/>
        </w:rPr>
        <w:t xml:space="preserve">    </w:t>
      </w:r>
      <w:r w:rsidR="006660AB" w:rsidRPr="002B20B0">
        <w:rPr>
          <w:rFonts w:ascii="Arial" w:hAnsi="Arial" w:cs="Arial"/>
          <w:sz w:val="20"/>
          <w:szCs w:val="20"/>
        </w:rPr>
        <w:t xml:space="preserve"> </w:t>
      </w:r>
      <w:r w:rsidR="00BE1A7C" w:rsidRPr="002B20B0">
        <w:rPr>
          <w:rFonts w:ascii="Arial" w:hAnsi="Arial" w:cs="Arial"/>
          <w:sz w:val="20"/>
          <w:szCs w:val="20"/>
        </w:rPr>
        <w:t xml:space="preserve"> </w:t>
      </w:r>
      <w:r w:rsidR="004D35DC" w:rsidRPr="002B20B0">
        <w:rPr>
          <w:rFonts w:ascii="Arial" w:hAnsi="Arial" w:cs="Arial"/>
          <w:sz w:val="20"/>
          <w:szCs w:val="20"/>
        </w:rPr>
        <w:t xml:space="preserve"> </w:t>
      </w:r>
      <w:r w:rsidR="005B177F" w:rsidRPr="002B20B0">
        <w:rPr>
          <w:rFonts w:ascii="Arial" w:hAnsi="Arial" w:cs="Arial"/>
          <w:sz w:val="20"/>
          <w:szCs w:val="20"/>
        </w:rPr>
        <w:t xml:space="preserve"> </w:t>
      </w:r>
      <w:r w:rsidR="00E167A5" w:rsidRPr="002B20B0">
        <w:rPr>
          <w:rFonts w:ascii="Arial" w:hAnsi="Arial" w:cs="Arial"/>
          <w:sz w:val="20"/>
          <w:szCs w:val="20"/>
        </w:rPr>
        <w:t xml:space="preserve">  </w:t>
      </w:r>
      <w:r w:rsidR="00D22187" w:rsidRPr="002B20B0">
        <w:rPr>
          <w:rFonts w:ascii="Arial" w:hAnsi="Arial" w:cs="Arial"/>
          <w:sz w:val="20"/>
          <w:szCs w:val="20"/>
        </w:rPr>
        <w:t xml:space="preserve">    </w:t>
      </w:r>
      <w:r w:rsidR="00C677C1" w:rsidRPr="002B20B0">
        <w:rPr>
          <w:rFonts w:ascii="Arial" w:hAnsi="Arial" w:cs="Arial"/>
          <w:sz w:val="20"/>
          <w:szCs w:val="20"/>
        </w:rPr>
        <w:t xml:space="preserve"> </w:t>
      </w:r>
    </w:p>
    <w:p w14:paraId="661095E6" w14:textId="48E05D20" w:rsidR="004C2676" w:rsidRPr="00295527" w:rsidRDefault="00D463D6" w:rsidP="00295527">
      <w:pPr>
        <w:pStyle w:val="Heading1"/>
        <w:numPr>
          <w:ilvl w:val="0"/>
          <w:numId w:val="11"/>
        </w:numPr>
        <w:ind w:left="1138" w:hanging="1138"/>
      </w:pPr>
      <w:r>
        <w:t>Discussion</w:t>
      </w:r>
    </w:p>
    <w:p w14:paraId="2B842BAD" w14:textId="7A47ED81" w:rsidR="00295527" w:rsidRPr="0093313C" w:rsidRDefault="00295527" w:rsidP="00295527">
      <w:pPr>
        <w:pStyle w:val="Heading2"/>
        <w:spacing w:after="120"/>
        <w:ind w:left="1138" w:hanging="1138"/>
      </w:pPr>
      <w:r>
        <w:t>2.1</w:t>
      </w:r>
      <w:r>
        <w:tab/>
      </w:r>
      <w:r>
        <w:rPr>
          <w:lang w:val="en-US"/>
        </w:rPr>
        <w:t>PSD imbalance for PC1.5 intra-band contiguous UL CA</w:t>
      </w:r>
    </w:p>
    <w:p w14:paraId="0FD11183" w14:textId="77777777" w:rsidR="00295527" w:rsidRDefault="00295527" w:rsidP="00295527">
      <w:pPr>
        <w:jc w:val="both"/>
        <w:rPr>
          <w:rFonts w:ascii="Arial" w:hAnsi="Arial" w:cs="Arial"/>
          <w:bCs/>
          <w:sz w:val="20"/>
          <w:szCs w:val="20"/>
        </w:rPr>
      </w:pPr>
    </w:p>
    <w:p w14:paraId="2BE762B5" w14:textId="207CC67B" w:rsidR="00041F2A" w:rsidRDefault="00295527" w:rsidP="008C6C35">
      <w:pPr>
        <w:spacing w:after="120"/>
        <w:jc w:val="both"/>
        <w:rPr>
          <w:rFonts w:ascii="Arial" w:hAnsi="Arial" w:cs="Arial"/>
          <w:bCs/>
          <w:sz w:val="20"/>
          <w:szCs w:val="20"/>
        </w:rPr>
      </w:pPr>
      <w:r>
        <w:rPr>
          <w:rFonts w:ascii="Arial" w:hAnsi="Arial" w:cs="Arial"/>
          <w:bCs/>
          <w:sz w:val="20"/>
          <w:szCs w:val="20"/>
        </w:rPr>
        <w:t xml:space="preserve">For PC1.5 intra-band contiguous UL CA based on TxD architecture as shown in Figure 2.1-1, each individual </w:t>
      </w:r>
      <w:r w:rsidR="00001292">
        <w:rPr>
          <w:rFonts w:ascii="Arial" w:hAnsi="Arial" w:cs="Arial"/>
          <w:bCs/>
          <w:sz w:val="20"/>
          <w:szCs w:val="20"/>
        </w:rPr>
        <w:t xml:space="preserve">analog </w:t>
      </w:r>
      <w:r>
        <w:rPr>
          <w:rFonts w:ascii="Arial" w:hAnsi="Arial" w:cs="Arial"/>
          <w:bCs/>
          <w:sz w:val="20"/>
          <w:szCs w:val="20"/>
        </w:rPr>
        <w:t>Tx signal path is shared by the two aggregated carriers</w:t>
      </w:r>
      <w:r w:rsidR="00001292">
        <w:rPr>
          <w:rFonts w:ascii="Arial" w:hAnsi="Arial" w:cs="Arial"/>
          <w:bCs/>
          <w:sz w:val="20"/>
          <w:szCs w:val="20"/>
        </w:rPr>
        <w:t xml:space="preserve"> which are expected to experience the same analog gain. Provided the PSD is set equal in digital domain between the two carriers, </w:t>
      </w:r>
      <w:r w:rsidR="00ED729A">
        <w:rPr>
          <w:rFonts w:ascii="Arial" w:hAnsi="Arial" w:cs="Arial"/>
          <w:bCs/>
          <w:sz w:val="20"/>
          <w:szCs w:val="20"/>
        </w:rPr>
        <w:t xml:space="preserve">there should be </w:t>
      </w:r>
      <w:r w:rsidR="00E05ABC">
        <w:rPr>
          <w:rFonts w:ascii="Arial" w:hAnsi="Arial" w:cs="Arial"/>
          <w:bCs/>
          <w:sz w:val="20"/>
          <w:szCs w:val="20"/>
        </w:rPr>
        <w:t xml:space="preserve">no </w:t>
      </w:r>
      <w:r w:rsidR="00ED729A">
        <w:rPr>
          <w:rFonts w:ascii="Arial" w:hAnsi="Arial" w:cs="Arial"/>
          <w:bCs/>
          <w:sz w:val="20"/>
          <w:szCs w:val="20"/>
        </w:rPr>
        <w:t xml:space="preserve">unintentional PSD imbalance caused by any transceiver design impairment. Since cell collocation has always been assumed for intra-band contiguous CA, there </w:t>
      </w:r>
      <w:r w:rsidR="006F5CB7">
        <w:rPr>
          <w:rFonts w:ascii="Arial" w:hAnsi="Arial" w:cs="Arial"/>
          <w:bCs/>
          <w:sz w:val="20"/>
          <w:szCs w:val="20"/>
        </w:rPr>
        <w:t>would be</w:t>
      </w:r>
      <w:r w:rsidR="00ED729A">
        <w:rPr>
          <w:rFonts w:ascii="Arial" w:hAnsi="Arial" w:cs="Arial"/>
          <w:bCs/>
          <w:sz w:val="20"/>
          <w:szCs w:val="20"/>
        </w:rPr>
        <w:t xml:space="preserve"> no compelling reason to intentionally set unequal PSD between the two </w:t>
      </w:r>
      <w:r w:rsidR="006F5CB7">
        <w:rPr>
          <w:rFonts w:ascii="Arial" w:hAnsi="Arial" w:cs="Arial"/>
          <w:bCs/>
          <w:sz w:val="20"/>
          <w:szCs w:val="20"/>
        </w:rPr>
        <w:t xml:space="preserve">UL </w:t>
      </w:r>
      <w:r w:rsidR="00ED729A">
        <w:rPr>
          <w:rFonts w:ascii="Arial" w:hAnsi="Arial" w:cs="Arial"/>
          <w:bCs/>
          <w:sz w:val="20"/>
          <w:szCs w:val="20"/>
        </w:rPr>
        <w:t>carriers as</w:t>
      </w:r>
      <w:r w:rsidR="006F5CB7">
        <w:rPr>
          <w:rFonts w:ascii="Arial" w:hAnsi="Arial" w:cs="Arial"/>
          <w:bCs/>
          <w:sz w:val="20"/>
          <w:szCs w:val="20"/>
        </w:rPr>
        <w:t xml:space="preserve"> they would observe different SNR when reaching the gNB. In our view, the consideration of PSD imbalance up to 6dB could be a misconception inherited from the DL PSD imbalance assumption for intra-band contiguous DL CA which </w:t>
      </w:r>
      <w:r w:rsidR="00E05ABC">
        <w:rPr>
          <w:rFonts w:ascii="Arial" w:hAnsi="Arial" w:cs="Arial"/>
          <w:bCs/>
          <w:sz w:val="20"/>
          <w:szCs w:val="20"/>
        </w:rPr>
        <w:t xml:space="preserve">is meant to accommodate the unintentional RF gain mismatch </w:t>
      </w:r>
      <w:r w:rsidR="00402A52">
        <w:rPr>
          <w:rFonts w:ascii="Arial" w:hAnsi="Arial" w:cs="Arial"/>
          <w:bCs/>
          <w:sz w:val="20"/>
          <w:szCs w:val="20"/>
        </w:rPr>
        <w:t>or different channel properties between</w:t>
      </w:r>
      <w:r w:rsidR="00E05ABC">
        <w:rPr>
          <w:rFonts w:ascii="Arial" w:hAnsi="Arial" w:cs="Arial"/>
          <w:bCs/>
          <w:sz w:val="20"/>
          <w:szCs w:val="20"/>
        </w:rPr>
        <w:t xml:space="preserve"> the two cells despite they are physically collocated.</w:t>
      </w:r>
      <w:r w:rsidR="009C58C3">
        <w:rPr>
          <w:rFonts w:ascii="Arial" w:hAnsi="Arial" w:cs="Arial"/>
          <w:bCs/>
          <w:sz w:val="20"/>
          <w:szCs w:val="20"/>
        </w:rPr>
        <w:t xml:space="preserve"> On the </w:t>
      </w:r>
      <w:r w:rsidR="009C58C3">
        <w:rPr>
          <w:rFonts w:ascii="Arial" w:hAnsi="Arial" w:cs="Arial"/>
          <w:bCs/>
          <w:sz w:val="20"/>
          <w:szCs w:val="20"/>
        </w:rPr>
        <w:lastRenderedPageBreak/>
        <w:t xml:space="preserve">other hand, PSD imbalance has never been considered </w:t>
      </w:r>
      <w:r w:rsidR="005D2254">
        <w:rPr>
          <w:rFonts w:ascii="Arial" w:hAnsi="Arial" w:cs="Arial"/>
          <w:bCs/>
          <w:sz w:val="20"/>
          <w:szCs w:val="20"/>
        </w:rPr>
        <w:t>for PC3 and PC2 intra-band contiguous UL CA for MPR evaluations and requirements. Therefore, we do not see the need to consider PSD imbalance for PC1.5 intra-band contiguous UL CA as well.</w:t>
      </w:r>
      <w:r w:rsidR="006F5CB7">
        <w:rPr>
          <w:rFonts w:ascii="Arial" w:hAnsi="Arial" w:cs="Arial"/>
          <w:bCs/>
          <w:sz w:val="20"/>
          <w:szCs w:val="20"/>
        </w:rPr>
        <w:t xml:space="preserve"> </w:t>
      </w:r>
      <w:r w:rsidR="00ED729A">
        <w:rPr>
          <w:rFonts w:ascii="Arial" w:hAnsi="Arial" w:cs="Arial"/>
          <w:bCs/>
          <w:sz w:val="20"/>
          <w:szCs w:val="20"/>
        </w:rPr>
        <w:t xml:space="preserve"> </w:t>
      </w:r>
      <w:r w:rsidR="0002488A">
        <w:rPr>
          <w:rFonts w:ascii="Arial" w:hAnsi="Arial" w:cs="Arial"/>
          <w:bCs/>
          <w:sz w:val="20"/>
          <w:szCs w:val="20"/>
        </w:rPr>
        <w:t xml:space="preserve">  </w:t>
      </w:r>
      <w:r>
        <w:rPr>
          <w:rFonts w:ascii="Arial" w:hAnsi="Arial" w:cs="Arial"/>
          <w:bCs/>
          <w:sz w:val="20"/>
          <w:szCs w:val="20"/>
        </w:rPr>
        <w:t xml:space="preserve">  </w:t>
      </w:r>
      <w:r w:rsidR="00041F2A">
        <w:rPr>
          <w:rFonts w:ascii="Arial" w:hAnsi="Arial" w:cs="Arial"/>
          <w:bCs/>
          <w:sz w:val="20"/>
          <w:szCs w:val="20"/>
        </w:rPr>
        <w:t xml:space="preserve"> </w:t>
      </w:r>
    </w:p>
    <w:p w14:paraId="50578EE4" w14:textId="77777777" w:rsidR="00041F2A" w:rsidRDefault="00041F2A" w:rsidP="00041F2A">
      <w:pPr>
        <w:jc w:val="both"/>
        <w:rPr>
          <w:rFonts w:ascii="Arial" w:hAnsi="Arial" w:cs="Arial"/>
          <w:bCs/>
          <w:sz w:val="20"/>
          <w:szCs w:val="20"/>
        </w:rPr>
      </w:pPr>
    </w:p>
    <w:p w14:paraId="1F5BCD0D" w14:textId="135F7AC4" w:rsidR="00E05ABC" w:rsidRDefault="00402A52" w:rsidP="00BC201E">
      <w:pPr>
        <w:jc w:val="center"/>
        <w:rPr>
          <w:rFonts w:ascii="Arial" w:hAnsi="Arial" w:cs="Arial"/>
          <w:bCs/>
          <w:sz w:val="20"/>
          <w:szCs w:val="20"/>
        </w:rPr>
      </w:pPr>
      <w:r w:rsidRPr="00402A52">
        <w:rPr>
          <w:rFonts w:ascii="Arial" w:hAnsi="Arial" w:cs="Arial"/>
          <w:bCs/>
          <w:noProof/>
          <w:sz w:val="20"/>
          <w:szCs w:val="20"/>
        </w:rPr>
        <w:drawing>
          <wp:inline distT="0" distB="0" distL="0" distR="0" wp14:anchorId="50F5679A" wp14:editId="030F17B4">
            <wp:extent cx="5473941" cy="2016177"/>
            <wp:effectExtent l="0" t="0" r="0" b="3175"/>
            <wp:docPr id="1712801255" name="Picture 1"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801255" name="Picture 1" descr="A diagram of a block diagram&#10;&#10;Description automatically generated"/>
                    <pic:cNvPicPr/>
                  </pic:nvPicPr>
                  <pic:blipFill>
                    <a:blip r:embed="rId9"/>
                    <a:stretch>
                      <a:fillRect/>
                    </a:stretch>
                  </pic:blipFill>
                  <pic:spPr>
                    <a:xfrm>
                      <a:off x="0" y="0"/>
                      <a:ext cx="5521650" cy="2033749"/>
                    </a:xfrm>
                    <a:prstGeom prst="rect">
                      <a:avLst/>
                    </a:prstGeom>
                  </pic:spPr>
                </pic:pic>
              </a:graphicData>
            </a:graphic>
          </wp:inline>
        </w:drawing>
      </w:r>
    </w:p>
    <w:p w14:paraId="77409920" w14:textId="77777777" w:rsidR="00E05ABC" w:rsidRDefault="00E05ABC" w:rsidP="00402A52">
      <w:pPr>
        <w:jc w:val="both"/>
        <w:rPr>
          <w:rFonts w:ascii="Arial" w:hAnsi="Arial" w:cs="Arial"/>
          <w:bCs/>
          <w:sz w:val="20"/>
          <w:szCs w:val="20"/>
        </w:rPr>
      </w:pPr>
    </w:p>
    <w:p w14:paraId="2A1CCC56" w14:textId="0CBF41CB" w:rsidR="00402A52" w:rsidRPr="008F0C7D" w:rsidRDefault="00402A52" w:rsidP="00402A52">
      <w:pPr>
        <w:spacing w:after="120"/>
        <w:jc w:val="center"/>
        <w:rPr>
          <w:rFonts w:ascii="Arial" w:hAnsi="Arial" w:cs="Arial"/>
          <w:sz w:val="20"/>
          <w:szCs w:val="20"/>
        </w:rPr>
      </w:pPr>
      <w:r>
        <w:rPr>
          <w:rFonts w:ascii="Arial" w:hAnsi="Arial" w:cs="Arial"/>
          <w:b/>
          <w:bCs/>
          <w:sz w:val="20"/>
          <w:szCs w:val="20"/>
        </w:rPr>
        <w:t>Figure</w:t>
      </w:r>
      <w:r w:rsidRPr="00E02F18">
        <w:rPr>
          <w:rFonts w:ascii="Arial" w:hAnsi="Arial" w:cs="Arial"/>
          <w:b/>
          <w:bCs/>
          <w:sz w:val="20"/>
          <w:szCs w:val="20"/>
        </w:rPr>
        <w:t xml:space="preserve"> </w:t>
      </w:r>
      <w:r>
        <w:rPr>
          <w:rFonts w:ascii="Arial" w:hAnsi="Arial" w:cs="Arial"/>
          <w:b/>
          <w:bCs/>
          <w:sz w:val="20"/>
          <w:szCs w:val="20"/>
        </w:rPr>
        <w:t>2.1-1 UE architecture</w:t>
      </w:r>
      <w:r w:rsidR="0028039F">
        <w:rPr>
          <w:rFonts w:ascii="Arial" w:hAnsi="Arial" w:cs="Arial"/>
          <w:b/>
          <w:bCs/>
          <w:sz w:val="20"/>
          <w:szCs w:val="20"/>
        </w:rPr>
        <w:t xml:space="preserve"> to support PC1.5 intra-band contiguous UL CA</w:t>
      </w:r>
    </w:p>
    <w:p w14:paraId="3C3A3FE1" w14:textId="77777777" w:rsidR="00402A52" w:rsidRDefault="00402A52" w:rsidP="0028039F">
      <w:pPr>
        <w:jc w:val="both"/>
        <w:rPr>
          <w:rFonts w:ascii="Arial" w:hAnsi="Arial" w:cs="Arial"/>
          <w:bCs/>
          <w:sz w:val="20"/>
          <w:szCs w:val="20"/>
        </w:rPr>
      </w:pPr>
    </w:p>
    <w:p w14:paraId="5EA2885E" w14:textId="024337D5" w:rsidR="00402A52" w:rsidRPr="009C58C3" w:rsidRDefault="0028039F" w:rsidP="008C6C35">
      <w:pPr>
        <w:spacing w:after="120"/>
        <w:jc w:val="both"/>
        <w:rPr>
          <w:rFonts w:ascii="Arial" w:hAnsi="Arial" w:cs="Arial"/>
          <w:bCs/>
          <w:i/>
          <w:iCs/>
          <w:sz w:val="20"/>
          <w:szCs w:val="20"/>
        </w:rPr>
      </w:pPr>
      <w:r w:rsidRPr="009C58C3">
        <w:rPr>
          <w:rFonts w:ascii="Arial" w:hAnsi="Arial" w:cs="Arial"/>
          <w:b/>
          <w:i/>
          <w:iCs/>
          <w:sz w:val="20"/>
          <w:szCs w:val="20"/>
        </w:rPr>
        <w:t>Observation 1</w:t>
      </w:r>
      <w:r w:rsidRPr="009C58C3">
        <w:rPr>
          <w:rFonts w:ascii="Arial" w:hAnsi="Arial" w:cs="Arial"/>
          <w:bCs/>
          <w:i/>
          <w:iCs/>
          <w:sz w:val="20"/>
          <w:szCs w:val="20"/>
        </w:rPr>
        <w:t>: For PC1.5 intra-band contiguous UL CA based on TxD architecture</w:t>
      </w:r>
      <w:r w:rsidR="009C58C3" w:rsidRPr="009C58C3">
        <w:rPr>
          <w:rFonts w:ascii="Arial" w:hAnsi="Arial" w:cs="Arial"/>
          <w:bCs/>
          <w:i/>
          <w:iCs/>
          <w:sz w:val="20"/>
          <w:szCs w:val="20"/>
        </w:rPr>
        <w:t>, provided the PSD is set equal in digital domain between the two carriers, there should be no unintentional PSD imbalance caused by any transceiver design impairment.</w:t>
      </w:r>
    </w:p>
    <w:p w14:paraId="0AF5C431" w14:textId="77777777" w:rsidR="009C58C3" w:rsidRDefault="009C58C3" w:rsidP="009C58C3">
      <w:pPr>
        <w:jc w:val="both"/>
        <w:rPr>
          <w:rFonts w:ascii="Arial" w:hAnsi="Arial" w:cs="Arial"/>
          <w:bCs/>
          <w:sz w:val="20"/>
          <w:szCs w:val="20"/>
        </w:rPr>
      </w:pPr>
    </w:p>
    <w:p w14:paraId="33505C9B" w14:textId="17B80A8B" w:rsidR="009C58C3" w:rsidRPr="009C58C3" w:rsidRDefault="009C58C3" w:rsidP="008C6C35">
      <w:pPr>
        <w:spacing w:after="120"/>
        <w:jc w:val="both"/>
        <w:rPr>
          <w:rFonts w:ascii="Arial" w:hAnsi="Arial" w:cs="Arial"/>
          <w:bCs/>
          <w:i/>
          <w:iCs/>
          <w:sz w:val="20"/>
          <w:szCs w:val="20"/>
        </w:rPr>
      </w:pPr>
      <w:r w:rsidRPr="009C58C3">
        <w:rPr>
          <w:rFonts w:ascii="Arial" w:hAnsi="Arial" w:cs="Arial"/>
          <w:b/>
          <w:i/>
          <w:iCs/>
          <w:sz w:val="20"/>
          <w:szCs w:val="20"/>
        </w:rPr>
        <w:t>Observation 2</w:t>
      </w:r>
      <w:r w:rsidRPr="009C58C3">
        <w:rPr>
          <w:rFonts w:ascii="Arial" w:hAnsi="Arial" w:cs="Arial"/>
          <w:bCs/>
          <w:i/>
          <w:iCs/>
          <w:sz w:val="20"/>
          <w:szCs w:val="20"/>
        </w:rPr>
        <w:t xml:space="preserve">: </w:t>
      </w:r>
      <w:r w:rsidR="001E3074">
        <w:rPr>
          <w:rFonts w:ascii="Arial" w:hAnsi="Arial" w:cs="Arial"/>
          <w:bCs/>
          <w:i/>
          <w:iCs/>
          <w:sz w:val="20"/>
          <w:szCs w:val="20"/>
        </w:rPr>
        <w:t>C</w:t>
      </w:r>
      <w:r w:rsidRPr="009C58C3">
        <w:rPr>
          <w:rFonts w:ascii="Arial" w:hAnsi="Arial" w:cs="Arial"/>
          <w:bCs/>
          <w:i/>
          <w:iCs/>
          <w:sz w:val="20"/>
          <w:szCs w:val="20"/>
        </w:rPr>
        <w:t>ell collocation has always been assumed for intra-band contiguous CA.</w:t>
      </w:r>
    </w:p>
    <w:p w14:paraId="04427315" w14:textId="77777777" w:rsidR="009C58C3" w:rsidRDefault="009C58C3" w:rsidP="009C58C3">
      <w:pPr>
        <w:jc w:val="both"/>
        <w:rPr>
          <w:rFonts w:ascii="Arial" w:hAnsi="Arial" w:cs="Arial"/>
          <w:bCs/>
          <w:sz w:val="20"/>
          <w:szCs w:val="20"/>
        </w:rPr>
      </w:pPr>
    </w:p>
    <w:p w14:paraId="0007875F" w14:textId="285C54CE" w:rsidR="009C58C3" w:rsidRPr="009C58C3" w:rsidRDefault="009C58C3" w:rsidP="008C6C35">
      <w:pPr>
        <w:spacing w:after="120"/>
        <w:jc w:val="both"/>
        <w:rPr>
          <w:rFonts w:ascii="Arial" w:hAnsi="Arial" w:cs="Arial"/>
          <w:bCs/>
          <w:i/>
          <w:iCs/>
          <w:sz w:val="20"/>
          <w:szCs w:val="20"/>
        </w:rPr>
      </w:pPr>
      <w:r w:rsidRPr="009C58C3">
        <w:rPr>
          <w:rFonts w:ascii="Arial" w:hAnsi="Arial" w:cs="Arial"/>
          <w:b/>
          <w:i/>
          <w:iCs/>
          <w:sz w:val="20"/>
          <w:szCs w:val="20"/>
        </w:rPr>
        <w:t>Observation 3</w:t>
      </w:r>
      <w:r w:rsidRPr="009C58C3">
        <w:rPr>
          <w:rFonts w:ascii="Arial" w:hAnsi="Arial" w:cs="Arial"/>
          <w:bCs/>
          <w:i/>
          <w:iCs/>
          <w:sz w:val="20"/>
          <w:szCs w:val="20"/>
        </w:rPr>
        <w:t>: For intra-band contiguous UL CA, there would be no compelling reason to intentionally set unequal PSD between the two UL carriers as they would observe different SNR when reaching the gNB.</w:t>
      </w:r>
    </w:p>
    <w:p w14:paraId="7421534F" w14:textId="77777777" w:rsidR="009C58C3" w:rsidRDefault="009C58C3" w:rsidP="009C58C3">
      <w:pPr>
        <w:jc w:val="both"/>
        <w:rPr>
          <w:rFonts w:ascii="Arial" w:hAnsi="Arial" w:cs="Arial"/>
          <w:bCs/>
          <w:sz w:val="20"/>
          <w:szCs w:val="20"/>
        </w:rPr>
      </w:pPr>
    </w:p>
    <w:p w14:paraId="3D85F549" w14:textId="1080CC69" w:rsidR="009C58C3" w:rsidRPr="009C58C3" w:rsidRDefault="009C58C3" w:rsidP="009C58C3">
      <w:pPr>
        <w:spacing w:after="120"/>
        <w:jc w:val="both"/>
        <w:rPr>
          <w:rFonts w:ascii="Arial" w:hAnsi="Arial" w:cs="Arial"/>
          <w:bCs/>
          <w:i/>
          <w:iCs/>
          <w:sz w:val="20"/>
          <w:szCs w:val="20"/>
        </w:rPr>
      </w:pPr>
      <w:r w:rsidRPr="009C58C3">
        <w:rPr>
          <w:rFonts w:ascii="Arial" w:hAnsi="Arial" w:cs="Arial"/>
          <w:b/>
          <w:i/>
          <w:iCs/>
          <w:sz w:val="20"/>
          <w:szCs w:val="20"/>
        </w:rPr>
        <w:t>Observation 4</w:t>
      </w:r>
      <w:r w:rsidRPr="009C58C3">
        <w:rPr>
          <w:rFonts w:ascii="Arial" w:hAnsi="Arial" w:cs="Arial"/>
          <w:bCs/>
          <w:i/>
          <w:iCs/>
          <w:sz w:val="20"/>
          <w:szCs w:val="20"/>
        </w:rPr>
        <w:t>: The consideration of PSD imbalance up to 6dB could be a misconception inherited from the DL PSD imbalance assumption for intra-band contiguous DL CA which is meant to accommodate the unintentional RF gain mismatch or different channel properties between the two cells.</w:t>
      </w:r>
    </w:p>
    <w:p w14:paraId="1E807A3F" w14:textId="77777777" w:rsidR="005D2254" w:rsidRDefault="005D2254" w:rsidP="005D2254">
      <w:pPr>
        <w:jc w:val="both"/>
        <w:rPr>
          <w:rFonts w:ascii="Arial" w:hAnsi="Arial" w:cs="Arial"/>
          <w:bCs/>
          <w:sz w:val="20"/>
          <w:szCs w:val="20"/>
        </w:rPr>
      </w:pPr>
    </w:p>
    <w:p w14:paraId="77F03AD6" w14:textId="68E8FF31" w:rsidR="0028039F" w:rsidRDefault="005D2254" w:rsidP="005D2254">
      <w:pPr>
        <w:spacing w:after="120"/>
        <w:jc w:val="both"/>
        <w:rPr>
          <w:rFonts w:ascii="Arial" w:hAnsi="Arial" w:cs="Arial"/>
          <w:bCs/>
          <w:sz w:val="20"/>
          <w:szCs w:val="20"/>
        </w:rPr>
      </w:pPr>
      <w:r w:rsidRPr="009C58C3">
        <w:rPr>
          <w:rFonts w:ascii="Arial" w:hAnsi="Arial" w:cs="Arial"/>
          <w:b/>
          <w:i/>
          <w:iCs/>
          <w:sz w:val="20"/>
          <w:szCs w:val="20"/>
        </w:rPr>
        <w:t xml:space="preserve">Observation </w:t>
      </w:r>
      <w:r>
        <w:rPr>
          <w:rFonts w:ascii="Arial" w:hAnsi="Arial" w:cs="Arial"/>
          <w:b/>
          <w:i/>
          <w:iCs/>
          <w:sz w:val="20"/>
          <w:szCs w:val="20"/>
        </w:rPr>
        <w:t>5</w:t>
      </w:r>
      <w:r w:rsidRPr="009C58C3">
        <w:rPr>
          <w:rFonts w:ascii="Arial" w:hAnsi="Arial" w:cs="Arial"/>
          <w:bCs/>
          <w:i/>
          <w:iCs/>
          <w:sz w:val="20"/>
          <w:szCs w:val="20"/>
        </w:rPr>
        <w:t xml:space="preserve">: </w:t>
      </w:r>
      <w:r w:rsidRPr="005D2254">
        <w:rPr>
          <w:rFonts w:ascii="Arial" w:hAnsi="Arial" w:cs="Arial"/>
          <w:bCs/>
          <w:i/>
          <w:iCs/>
          <w:sz w:val="20"/>
          <w:szCs w:val="20"/>
        </w:rPr>
        <w:t>PSD imbalance has never been considered for PC3 and PC2 intra-band contiguous UL CA for MPR evaluations and requirements.</w:t>
      </w:r>
    </w:p>
    <w:p w14:paraId="0416BB04" w14:textId="77777777" w:rsidR="005D2254" w:rsidRDefault="005D2254" w:rsidP="005D2254">
      <w:pPr>
        <w:jc w:val="both"/>
        <w:rPr>
          <w:rFonts w:ascii="Arial" w:hAnsi="Arial" w:cs="Arial"/>
          <w:bCs/>
          <w:sz w:val="20"/>
          <w:szCs w:val="20"/>
        </w:rPr>
      </w:pPr>
    </w:p>
    <w:p w14:paraId="3EFF6CA5" w14:textId="209F2F7C" w:rsidR="003E3380" w:rsidRDefault="009C58C3" w:rsidP="008C6C35">
      <w:pPr>
        <w:spacing w:after="120"/>
        <w:jc w:val="both"/>
        <w:rPr>
          <w:rFonts w:ascii="Arial" w:hAnsi="Arial" w:cs="Arial"/>
          <w:bCs/>
          <w:sz w:val="20"/>
          <w:szCs w:val="20"/>
        </w:rPr>
      </w:pPr>
      <w:r>
        <w:rPr>
          <w:rFonts w:ascii="Arial" w:hAnsi="Arial" w:cs="Arial"/>
          <w:bCs/>
          <w:sz w:val="20"/>
          <w:szCs w:val="20"/>
        </w:rPr>
        <w:t xml:space="preserve">Based on the above observations, </w:t>
      </w:r>
      <w:r w:rsidR="005D2254">
        <w:rPr>
          <w:rFonts w:ascii="Arial" w:hAnsi="Arial" w:cs="Arial"/>
          <w:bCs/>
          <w:sz w:val="20"/>
          <w:szCs w:val="20"/>
        </w:rPr>
        <w:t xml:space="preserve">we propose that </w:t>
      </w:r>
      <w:r w:rsidR="005D2254" w:rsidRPr="005D2254">
        <w:rPr>
          <w:rFonts w:ascii="Arial" w:hAnsi="Arial" w:cs="Arial"/>
          <w:bCs/>
          <w:sz w:val="20"/>
          <w:szCs w:val="20"/>
        </w:rPr>
        <w:t xml:space="preserve">for </w:t>
      </w:r>
      <w:r w:rsidR="005D2254">
        <w:rPr>
          <w:rFonts w:ascii="Arial" w:hAnsi="Arial" w:cs="Arial"/>
          <w:bCs/>
          <w:sz w:val="20"/>
          <w:szCs w:val="20"/>
        </w:rPr>
        <w:t xml:space="preserve">PC1.5 intra-band </w:t>
      </w:r>
      <w:r w:rsidR="005D2254" w:rsidRPr="005D2254">
        <w:rPr>
          <w:rFonts w:ascii="Arial" w:hAnsi="Arial" w:cs="Arial"/>
          <w:bCs/>
          <w:sz w:val="20"/>
          <w:szCs w:val="20"/>
        </w:rPr>
        <w:t>contiguous UL CA, MPR requirements are only evaluated and specified based on equal PSD between the two carriers</w:t>
      </w:r>
      <w:r w:rsidR="005D2254">
        <w:rPr>
          <w:rFonts w:ascii="Arial" w:hAnsi="Arial" w:cs="Arial"/>
          <w:bCs/>
          <w:sz w:val="20"/>
          <w:szCs w:val="20"/>
        </w:rPr>
        <w:t>.</w:t>
      </w:r>
    </w:p>
    <w:p w14:paraId="2B2FA335" w14:textId="77777777" w:rsidR="003E3380" w:rsidRDefault="003E3380" w:rsidP="003E3380">
      <w:pPr>
        <w:jc w:val="both"/>
        <w:rPr>
          <w:rFonts w:ascii="Arial" w:hAnsi="Arial" w:cs="Arial"/>
          <w:bCs/>
          <w:sz w:val="20"/>
          <w:szCs w:val="20"/>
        </w:rPr>
      </w:pPr>
    </w:p>
    <w:p w14:paraId="26304A6F" w14:textId="12DB4FF4" w:rsidR="008E75A4" w:rsidRDefault="00935CDD" w:rsidP="00935CDD">
      <w:pPr>
        <w:spacing w:after="120"/>
        <w:jc w:val="both"/>
        <w:rPr>
          <w:rFonts w:ascii="Arial" w:hAnsi="Arial" w:cs="Arial"/>
          <w:sz w:val="20"/>
          <w:szCs w:val="20"/>
        </w:rPr>
      </w:pPr>
      <w:r>
        <w:rPr>
          <w:rFonts w:ascii="Arial" w:hAnsi="Arial" w:cs="Arial"/>
          <w:b/>
          <w:i/>
          <w:iCs/>
          <w:sz w:val="20"/>
          <w:szCs w:val="20"/>
        </w:rPr>
        <w:t>Proposal</w:t>
      </w:r>
      <w:r w:rsidRPr="009C58C3">
        <w:rPr>
          <w:rFonts w:ascii="Arial" w:hAnsi="Arial" w:cs="Arial"/>
          <w:b/>
          <w:i/>
          <w:iCs/>
          <w:sz w:val="20"/>
          <w:szCs w:val="20"/>
        </w:rPr>
        <w:t xml:space="preserve"> </w:t>
      </w:r>
      <w:r>
        <w:rPr>
          <w:rFonts w:ascii="Arial" w:hAnsi="Arial" w:cs="Arial"/>
          <w:b/>
          <w:i/>
          <w:iCs/>
          <w:sz w:val="20"/>
          <w:szCs w:val="20"/>
        </w:rPr>
        <w:t>1</w:t>
      </w:r>
      <w:r w:rsidRPr="009C58C3">
        <w:rPr>
          <w:rFonts w:ascii="Arial" w:hAnsi="Arial" w:cs="Arial"/>
          <w:bCs/>
          <w:i/>
          <w:iCs/>
          <w:sz w:val="20"/>
          <w:szCs w:val="20"/>
        </w:rPr>
        <w:t xml:space="preserve">: </w:t>
      </w:r>
      <w:r>
        <w:rPr>
          <w:rFonts w:ascii="Arial" w:hAnsi="Arial" w:cs="Arial"/>
          <w:bCs/>
          <w:i/>
          <w:iCs/>
          <w:sz w:val="20"/>
          <w:szCs w:val="20"/>
        </w:rPr>
        <w:t>F</w:t>
      </w:r>
      <w:r w:rsidRPr="00935CDD">
        <w:rPr>
          <w:rFonts w:ascii="Arial" w:hAnsi="Arial" w:cs="Arial"/>
          <w:bCs/>
          <w:i/>
          <w:iCs/>
          <w:sz w:val="20"/>
          <w:szCs w:val="20"/>
        </w:rPr>
        <w:t>or PC1.5 intra-band contiguous UL CA, MPR requirements are only evaluated and specified based on equal PSD between the two carriers.</w:t>
      </w:r>
    </w:p>
    <w:p w14:paraId="3AF7A880" w14:textId="77777777" w:rsidR="00935CDD" w:rsidRDefault="00935CDD" w:rsidP="008E75A4">
      <w:pPr>
        <w:jc w:val="both"/>
        <w:rPr>
          <w:rFonts w:ascii="Arial" w:hAnsi="Arial" w:cs="Arial"/>
          <w:sz w:val="20"/>
          <w:szCs w:val="20"/>
        </w:rPr>
      </w:pPr>
    </w:p>
    <w:p w14:paraId="07C2DF0D" w14:textId="296F4913" w:rsidR="00935CDD" w:rsidRPr="0093313C" w:rsidRDefault="00935CDD" w:rsidP="00935CDD">
      <w:pPr>
        <w:pStyle w:val="Heading2"/>
        <w:spacing w:after="120"/>
        <w:ind w:left="1138" w:hanging="1138"/>
      </w:pPr>
      <w:r>
        <w:t>2.2</w:t>
      </w:r>
      <w:r>
        <w:tab/>
      </w:r>
      <w:r>
        <w:rPr>
          <w:lang w:val="en-US"/>
        </w:rPr>
        <w:t>PSD imbalance for PC1.5 intra-band non-contiguous UL CA</w:t>
      </w:r>
    </w:p>
    <w:p w14:paraId="5ED42DBE" w14:textId="77777777" w:rsidR="00935CDD" w:rsidRDefault="00935CDD" w:rsidP="00BC201E">
      <w:pPr>
        <w:jc w:val="both"/>
        <w:rPr>
          <w:rFonts w:ascii="Arial" w:hAnsi="Arial" w:cs="Arial"/>
          <w:sz w:val="20"/>
          <w:szCs w:val="20"/>
        </w:rPr>
      </w:pPr>
    </w:p>
    <w:p w14:paraId="6E4A3371" w14:textId="77F7104F" w:rsidR="00BC201E" w:rsidRDefault="00935CDD" w:rsidP="00C50995">
      <w:pPr>
        <w:spacing w:after="120"/>
        <w:jc w:val="both"/>
        <w:rPr>
          <w:rFonts w:ascii="Arial" w:hAnsi="Arial" w:cs="Arial"/>
          <w:sz w:val="20"/>
          <w:szCs w:val="20"/>
        </w:rPr>
      </w:pPr>
      <w:r>
        <w:rPr>
          <w:rFonts w:ascii="Arial" w:hAnsi="Arial" w:cs="Arial"/>
          <w:bCs/>
          <w:sz w:val="20"/>
          <w:szCs w:val="20"/>
        </w:rPr>
        <w:t>For PC1.5 intra-band non-contiguous UL CA based on dualPA architecture as shown in Figure 2.2-1,</w:t>
      </w:r>
      <w:r w:rsidR="00BC201E">
        <w:rPr>
          <w:rFonts w:ascii="Arial" w:hAnsi="Arial" w:cs="Arial"/>
          <w:bCs/>
          <w:sz w:val="20"/>
          <w:szCs w:val="20"/>
        </w:rPr>
        <w:t xml:space="preserve"> </w:t>
      </w:r>
      <w:r w:rsidR="00F46B7B">
        <w:rPr>
          <w:rFonts w:ascii="Arial" w:hAnsi="Arial" w:cs="Arial"/>
          <w:bCs/>
          <w:sz w:val="20"/>
          <w:szCs w:val="20"/>
        </w:rPr>
        <w:t>each individual analog signal path only transports one UL carrier. Unlike TxD architecture where either one of the UL carriers may reach maximum output power at 29 dBm</w:t>
      </w:r>
      <w:r w:rsidR="001D2827">
        <w:rPr>
          <w:rFonts w:ascii="Arial" w:hAnsi="Arial" w:cs="Arial"/>
          <w:bCs/>
          <w:sz w:val="20"/>
          <w:szCs w:val="20"/>
        </w:rPr>
        <w:t xml:space="preserve">, the dualPA architecture only permits maximum output power of 26 dBm for each UL carrier. </w:t>
      </w:r>
      <w:r w:rsidR="000D57F3">
        <w:rPr>
          <w:rFonts w:ascii="Arial" w:hAnsi="Arial" w:cs="Arial"/>
          <w:bCs/>
          <w:sz w:val="20"/>
          <w:szCs w:val="20"/>
        </w:rPr>
        <w:t xml:space="preserve">To reach the total </w:t>
      </w:r>
      <w:r w:rsidR="00F17BC7">
        <w:rPr>
          <w:rFonts w:ascii="Arial" w:hAnsi="Arial" w:cs="Arial"/>
          <w:bCs/>
          <w:sz w:val="20"/>
          <w:szCs w:val="20"/>
        </w:rPr>
        <w:t xml:space="preserve">output </w:t>
      </w:r>
      <w:r w:rsidR="000D57F3">
        <w:rPr>
          <w:rFonts w:ascii="Arial" w:hAnsi="Arial" w:cs="Arial"/>
          <w:bCs/>
          <w:sz w:val="20"/>
          <w:szCs w:val="20"/>
        </w:rPr>
        <w:t xml:space="preserve">power of 29 dBm as advertised by PC1.5, each carrier would have to be transmitted at 26 dBm simultaneously. In this case, PSD imbalance between the two carriers would be expected when there is unequal transmission bandwidth between them. Under the extreme configuration where one carrier could be </w:t>
      </w:r>
      <w:r w:rsidR="00F17BC7">
        <w:rPr>
          <w:rFonts w:ascii="Arial" w:hAnsi="Arial" w:cs="Arial"/>
          <w:bCs/>
          <w:sz w:val="20"/>
          <w:szCs w:val="20"/>
        </w:rPr>
        <w:t xml:space="preserve">at </w:t>
      </w:r>
      <w:r w:rsidR="000D57F3">
        <w:rPr>
          <w:rFonts w:ascii="Arial" w:hAnsi="Arial" w:cs="Arial"/>
          <w:bCs/>
          <w:sz w:val="20"/>
          <w:szCs w:val="20"/>
        </w:rPr>
        <w:t>100</w:t>
      </w:r>
      <w:r w:rsidR="00F17BC7">
        <w:rPr>
          <w:rFonts w:ascii="Arial" w:hAnsi="Arial" w:cs="Arial"/>
          <w:bCs/>
          <w:sz w:val="20"/>
          <w:szCs w:val="20"/>
        </w:rPr>
        <w:t xml:space="preserve"> </w:t>
      </w:r>
      <w:r w:rsidR="000D57F3">
        <w:rPr>
          <w:rFonts w:ascii="Arial" w:hAnsi="Arial" w:cs="Arial"/>
          <w:bCs/>
          <w:sz w:val="20"/>
          <w:szCs w:val="20"/>
        </w:rPr>
        <w:t>MHz with full allocation</w:t>
      </w:r>
      <w:r w:rsidR="00F17BC7">
        <w:rPr>
          <w:rFonts w:ascii="Arial" w:hAnsi="Arial" w:cs="Arial"/>
          <w:bCs/>
          <w:sz w:val="20"/>
          <w:szCs w:val="20"/>
        </w:rPr>
        <w:t xml:space="preserve"> (</w:t>
      </w:r>
      <w:r w:rsidR="00C50995">
        <w:rPr>
          <w:rFonts w:ascii="Arial" w:hAnsi="Arial" w:cs="Arial"/>
          <w:bCs/>
          <w:sz w:val="20"/>
          <w:szCs w:val="20"/>
        </w:rPr>
        <w:t xml:space="preserve">273RB at 30kHz SCS) </w:t>
      </w:r>
      <w:r w:rsidR="00F17BC7">
        <w:rPr>
          <w:rFonts w:ascii="Arial" w:hAnsi="Arial" w:cs="Arial"/>
          <w:bCs/>
          <w:sz w:val="20"/>
          <w:szCs w:val="20"/>
        </w:rPr>
        <w:t>while the other carrier is only allocated with 1RB</w:t>
      </w:r>
      <w:r w:rsidR="00C50995">
        <w:rPr>
          <w:rFonts w:ascii="Arial" w:hAnsi="Arial" w:cs="Arial"/>
          <w:bCs/>
          <w:sz w:val="20"/>
          <w:szCs w:val="20"/>
        </w:rPr>
        <w:t xml:space="preserve"> as shown in Figure 2.2-2</w:t>
      </w:r>
      <w:r w:rsidR="00F17BC7">
        <w:rPr>
          <w:rFonts w:ascii="Arial" w:hAnsi="Arial" w:cs="Arial"/>
          <w:bCs/>
          <w:sz w:val="20"/>
          <w:szCs w:val="20"/>
        </w:rPr>
        <w:t>, the PSD imbalance could be</w:t>
      </w:r>
      <w:r w:rsidR="00C50995">
        <w:rPr>
          <w:rFonts w:ascii="Arial" w:hAnsi="Arial" w:cs="Arial"/>
          <w:bCs/>
          <w:sz w:val="20"/>
          <w:szCs w:val="20"/>
        </w:rPr>
        <w:t xml:space="preserve"> as high as 10*log</w:t>
      </w:r>
      <w:r w:rsidR="00C50995" w:rsidRPr="00C50995">
        <w:rPr>
          <w:rFonts w:ascii="Arial" w:hAnsi="Arial" w:cs="Arial"/>
          <w:bCs/>
          <w:sz w:val="20"/>
          <w:szCs w:val="20"/>
          <w:vertAlign w:val="subscript"/>
        </w:rPr>
        <w:t>10</w:t>
      </w:r>
      <w:r w:rsidR="00C50995">
        <w:rPr>
          <w:rFonts w:ascii="Arial" w:hAnsi="Arial" w:cs="Arial"/>
          <w:bCs/>
          <w:sz w:val="20"/>
          <w:szCs w:val="20"/>
        </w:rPr>
        <w:t>(273/1) dB = 24.4 dB.</w:t>
      </w:r>
      <w:r w:rsidR="00F17BC7">
        <w:rPr>
          <w:rFonts w:ascii="Arial" w:hAnsi="Arial" w:cs="Arial"/>
          <w:bCs/>
          <w:sz w:val="20"/>
          <w:szCs w:val="20"/>
        </w:rPr>
        <w:t xml:space="preserve"> </w:t>
      </w:r>
      <w:r w:rsidR="000D57F3">
        <w:rPr>
          <w:rFonts w:ascii="Arial" w:hAnsi="Arial" w:cs="Arial"/>
          <w:bCs/>
          <w:sz w:val="20"/>
          <w:szCs w:val="20"/>
        </w:rPr>
        <w:t xml:space="preserve">     </w:t>
      </w:r>
      <w:r w:rsidR="00F46B7B">
        <w:rPr>
          <w:rFonts w:ascii="Arial" w:hAnsi="Arial" w:cs="Arial"/>
          <w:bCs/>
          <w:sz w:val="20"/>
          <w:szCs w:val="20"/>
        </w:rPr>
        <w:t xml:space="preserve">  </w:t>
      </w:r>
      <w:r>
        <w:rPr>
          <w:rFonts w:ascii="Arial" w:hAnsi="Arial" w:cs="Arial"/>
          <w:bCs/>
          <w:sz w:val="20"/>
          <w:szCs w:val="20"/>
        </w:rPr>
        <w:t xml:space="preserve"> </w:t>
      </w:r>
    </w:p>
    <w:p w14:paraId="50684F3E" w14:textId="4FEE8242" w:rsidR="00BC201E" w:rsidRDefault="00BC201E" w:rsidP="00BC201E">
      <w:pPr>
        <w:jc w:val="center"/>
        <w:rPr>
          <w:rFonts w:ascii="Arial" w:hAnsi="Arial" w:cs="Arial"/>
          <w:sz w:val="20"/>
          <w:szCs w:val="20"/>
        </w:rPr>
      </w:pPr>
      <w:r>
        <w:rPr>
          <w:rFonts w:ascii="Arial" w:hAnsi="Arial" w:cs="Arial"/>
          <w:noProof/>
          <w:sz w:val="20"/>
          <w:szCs w:val="20"/>
        </w:rPr>
        <w:lastRenderedPageBreak/>
        <mc:AlternateContent>
          <mc:Choice Requires="wps">
            <w:drawing>
              <wp:anchor distT="0" distB="0" distL="114300" distR="114300" simplePos="0" relativeHeight="251661312" behindDoc="0" locked="0" layoutInCell="1" allowOverlap="1" wp14:anchorId="0C0802AF" wp14:editId="2856D312">
                <wp:simplePos x="0" y="0"/>
                <wp:positionH relativeFrom="column">
                  <wp:posOffset>4709920</wp:posOffset>
                </wp:positionH>
                <wp:positionV relativeFrom="paragraph">
                  <wp:posOffset>1560195</wp:posOffset>
                </wp:positionV>
                <wp:extent cx="622092" cy="277318"/>
                <wp:effectExtent l="0" t="0" r="0" b="0"/>
                <wp:wrapNone/>
                <wp:docPr id="417175207" name="Text Box 1"/>
                <wp:cNvGraphicFramePr/>
                <a:graphic xmlns:a="http://schemas.openxmlformats.org/drawingml/2006/main">
                  <a:graphicData uri="http://schemas.microsoft.com/office/word/2010/wordprocessingShape">
                    <wps:wsp>
                      <wps:cNvSpPr txBox="1"/>
                      <wps:spPr>
                        <a:xfrm>
                          <a:off x="0" y="0"/>
                          <a:ext cx="622092" cy="277318"/>
                        </a:xfrm>
                        <a:prstGeom prst="rect">
                          <a:avLst/>
                        </a:prstGeom>
                        <a:noFill/>
                        <a:ln w="6350">
                          <a:noFill/>
                        </a:ln>
                      </wps:spPr>
                      <wps:txbx>
                        <w:txbxContent>
                          <w:p w14:paraId="531919E0" w14:textId="77777777" w:rsidR="00BC201E" w:rsidRPr="00BC201E" w:rsidRDefault="00BC201E" w:rsidP="00BC201E">
                            <w:pPr>
                              <w:rPr>
                                <w:rFonts w:asciiTheme="minorHAnsi" w:hAnsiTheme="minorHAnsi" w:cstheme="minorHAnsi"/>
                                <w:sz w:val="20"/>
                                <w:szCs w:val="20"/>
                              </w:rPr>
                            </w:pPr>
                            <w:r w:rsidRPr="00BC201E">
                              <w:rPr>
                                <w:rFonts w:asciiTheme="minorHAnsi" w:hAnsiTheme="minorHAnsi" w:cstheme="minorHAnsi"/>
                                <w:sz w:val="20"/>
                                <w:szCs w:val="20"/>
                              </w:rPr>
                              <w:t>26 dBm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0802AF" id="_x0000_t202" coordsize="21600,21600" o:spt="202" path="m,l,21600r21600,l21600,xe">
                <v:stroke joinstyle="miter"/>
                <v:path gradientshapeok="t" o:connecttype="rect"/>
              </v:shapetype>
              <v:shape id="Text Box 1" o:spid="_x0000_s1026" type="#_x0000_t202" style="position:absolute;left:0;text-align:left;margin-left:370.85pt;margin-top:122.85pt;width:49pt;height:21.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" filled="f" stroked="f" strokeweight=".5pt">
                <v:textbox>
                  <w:txbxContent>
                    <w:p w14:paraId="531919E0" w14:textId="77777777" w:rsidR="00BC201E" w:rsidRPr="00BC201E" w:rsidRDefault="00BC201E" w:rsidP="00BC201E">
                      <w:pPr>
                        <w:rPr>
                          <w:rFonts w:asciiTheme="minorHAnsi" w:hAnsiTheme="minorHAnsi" w:cstheme="minorHAnsi"/>
                          <w:sz w:val="20"/>
                          <w:szCs w:val="20"/>
                        </w:rPr>
                      </w:pPr>
                      <w:r w:rsidRPr="00BC201E">
                        <w:rPr>
                          <w:rFonts w:asciiTheme="minorHAnsi" w:hAnsiTheme="minorHAnsi" w:cstheme="minorHAnsi"/>
                          <w:sz w:val="20"/>
                          <w:szCs w:val="20"/>
                        </w:rPr>
                        <w:t>26 dBm</w:t>
                      </w:r>
                    </w:p>
                  </w:txbxContent>
                </v:textbox>
              </v:shape>
            </w:pict>
          </mc:Fallback>
        </mc:AlternateContent>
      </w:r>
      <w:r>
        <w:rPr>
          <w:rFonts w:ascii="Arial" w:hAnsi="Arial" w:cs="Arial"/>
          <w:noProof/>
          <w:sz w:val="20"/>
          <w:szCs w:val="20"/>
        </w:rPr>
        <mc:AlternateContent>
          <mc:Choice Requires="wps">
            <w:drawing>
              <wp:anchor distT="0" distB="0" distL="114300" distR="114300" simplePos="0" relativeHeight="251659264" behindDoc="0" locked="0" layoutInCell="1" allowOverlap="1" wp14:anchorId="04965DB1" wp14:editId="6532DCD3">
                <wp:simplePos x="0" y="0"/>
                <wp:positionH relativeFrom="column">
                  <wp:posOffset>4712210</wp:posOffset>
                </wp:positionH>
                <wp:positionV relativeFrom="paragraph">
                  <wp:posOffset>238125</wp:posOffset>
                </wp:positionV>
                <wp:extent cx="622092" cy="277318"/>
                <wp:effectExtent l="0" t="0" r="0" b="0"/>
                <wp:wrapNone/>
                <wp:docPr id="663342437" name="Text Box 1"/>
                <wp:cNvGraphicFramePr/>
                <a:graphic xmlns:a="http://schemas.openxmlformats.org/drawingml/2006/main">
                  <a:graphicData uri="http://schemas.microsoft.com/office/word/2010/wordprocessingShape">
                    <wps:wsp>
                      <wps:cNvSpPr txBox="1"/>
                      <wps:spPr>
                        <a:xfrm>
                          <a:off x="0" y="0"/>
                          <a:ext cx="622092" cy="277318"/>
                        </a:xfrm>
                        <a:prstGeom prst="rect">
                          <a:avLst/>
                        </a:prstGeom>
                        <a:noFill/>
                        <a:ln w="6350">
                          <a:noFill/>
                        </a:ln>
                      </wps:spPr>
                      <wps:txbx>
                        <w:txbxContent>
                          <w:p w14:paraId="14D15D11" w14:textId="79C47371" w:rsidR="00BC201E" w:rsidRPr="00BC201E" w:rsidRDefault="00BC201E">
                            <w:pPr>
                              <w:rPr>
                                <w:rFonts w:asciiTheme="minorHAnsi" w:hAnsiTheme="minorHAnsi" w:cstheme="minorHAnsi"/>
                                <w:sz w:val="20"/>
                                <w:szCs w:val="20"/>
                              </w:rPr>
                            </w:pPr>
                            <w:r w:rsidRPr="00BC201E">
                              <w:rPr>
                                <w:rFonts w:asciiTheme="minorHAnsi" w:hAnsiTheme="minorHAnsi" w:cstheme="minorHAnsi"/>
                                <w:sz w:val="20"/>
                                <w:szCs w:val="20"/>
                              </w:rPr>
                              <w:t>26 dBm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965DB1" id="_x0000_s1027" type="#_x0000_t202" style="position:absolute;left:0;text-align:left;margin-left:371.05pt;margin-top:18.75pt;width:49pt;height:21.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" filled="f" stroked="f" strokeweight=".5pt">
                <v:textbox>
                  <w:txbxContent>
                    <w:p w14:paraId="14D15D11" w14:textId="79C47371" w:rsidR="00BC201E" w:rsidRPr="00BC201E" w:rsidRDefault="00BC201E">
                      <w:pPr>
                        <w:rPr>
                          <w:rFonts w:asciiTheme="minorHAnsi" w:hAnsiTheme="minorHAnsi" w:cstheme="minorHAnsi"/>
                          <w:sz w:val="20"/>
                          <w:szCs w:val="20"/>
                        </w:rPr>
                      </w:pPr>
                      <w:r w:rsidRPr="00BC201E">
                        <w:rPr>
                          <w:rFonts w:asciiTheme="minorHAnsi" w:hAnsiTheme="minorHAnsi" w:cstheme="minorHAnsi"/>
                          <w:sz w:val="20"/>
                          <w:szCs w:val="20"/>
                        </w:rPr>
                        <w:t>26 dBm</w:t>
                      </w:r>
                    </w:p>
                  </w:txbxContent>
                </v:textbox>
              </v:shape>
            </w:pict>
          </mc:Fallback>
        </mc:AlternateContent>
      </w:r>
      <w:r w:rsidRPr="00BC201E">
        <w:rPr>
          <w:rFonts w:ascii="Arial" w:hAnsi="Arial" w:cs="Arial"/>
          <w:noProof/>
          <w:sz w:val="20"/>
          <w:szCs w:val="20"/>
        </w:rPr>
        <w:drawing>
          <wp:inline distT="0" distB="0" distL="0" distR="0" wp14:anchorId="39CEBC34" wp14:editId="5C385E4F">
            <wp:extent cx="5522189" cy="1918818"/>
            <wp:effectExtent l="0" t="0" r="2540" b="0"/>
            <wp:docPr id="1876141888" name="Picture 1" descr="A black background with blu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141888" name="Picture 1" descr="A black background with blue squares&#10;&#10;Description automatically generated"/>
                    <pic:cNvPicPr/>
                  </pic:nvPicPr>
                  <pic:blipFill>
                    <a:blip r:embed="rId10"/>
                    <a:stretch>
                      <a:fillRect/>
                    </a:stretch>
                  </pic:blipFill>
                  <pic:spPr>
                    <a:xfrm>
                      <a:off x="0" y="0"/>
                      <a:ext cx="5574425" cy="1936969"/>
                    </a:xfrm>
                    <a:prstGeom prst="rect">
                      <a:avLst/>
                    </a:prstGeom>
                  </pic:spPr>
                </pic:pic>
              </a:graphicData>
            </a:graphic>
          </wp:inline>
        </w:drawing>
      </w:r>
    </w:p>
    <w:p w14:paraId="5285A7A2" w14:textId="77777777" w:rsidR="00BC201E" w:rsidRDefault="00BC201E" w:rsidP="00885A3C">
      <w:pPr>
        <w:jc w:val="both"/>
        <w:rPr>
          <w:rFonts w:ascii="Arial" w:hAnsi="Arial" w:cs="Arial"/>
          <w:sz w:val="20"/>
          <w:szCs w:val="20"/>
        </w:rPr>
      </w:pPr>
    </w:p>
    <w:p w14:paraId="7AAB093C" w14:textId="7616D138" w:rsidR="00885A3C" w:rsidRDefault="00BC201E" w:rsidP="00885A3C">
      <w:pPr>
        <w:spacing w:after="120"/>
        <w:jc w:val="center"/>
        <w:rPr>
          <w:rFonts w:ascii="Arial" w:hAnsi="Arial" w:cs="Arial"/>
          <w:b/>
          <w:bCs/>
          <w:sz w:val="20"/>
          <w:szCs w:val="20"/>
        </w:rPr>
      </w:pPr>
      <w:r>
        <w:rPr>
          <w:rFonts w:ascii="Arial" w:hAnsi="Arial" w:cs="Arial"/>
          <w:b/>
          <w:bCs/>
          <w:sz w:val="20"/>
          <w:szCs w:val="20"/>
        </w:rPr>
        <w:t>Figure</w:t>
      </w:r>
      <w:r w:rsidR="00885A3C" w:rsidRPr="00E02F18">
        <w:rPr>
          <w:rFonts w:ascii="Arial" w:hAnsi="Arial" w:cs="Arial"/>
          <w:b/>
          <w:bCs/>
          <w:sz w:val="20"/>
          <w:szCs w:val="20"/>
        </w:rPr>
        <w:t xml:space="preserve"> </w:t>
      </w:r>
      <w:r w:rsidR="00885A3C">
        <w:rPr>
          <w:rFonts w:ascii="Arial" w:hAnsi="Arial" w:cs="Arial"/>
          <w:b/>
          <w:bCs/>
          <w:sz w:val="20"/>
          <w:szCs w:val="20"/>
        </w:rPr>
        <w:t>2</w:t>
      </w:r>
      <w:r>
        <w:rPr>
          <w:rFonts w:ascii="Arial" w:hAnsi="Arial" w:cs="Arial"/>
          <w:b/>
          <w:bCs/>
          <w:sz w:val="20"/>
          <w:szCs w:val="20"/>
        </w:rPr>
        <w:t>.2</w:t>
      </w:r>
      <w:r w:rsidR="00885A3C">
        <w:rPr>
          <w:rFonts w:ascii="Arial" w:hAnsi="Arial" w:cs="Arial"/>
          <w:b/>
          <w:bCs/>
          <w:sz w:val="20"/>
          <w:szCs w:val="20"/>
        </w:rPr>
        <w:t xml:space="preserve">-1 </w:t>
      </w:r>
      <w:r w:rsidRPr="00BC201E">
        <w:rPr>
          <w:rFonts w:ascii="Arial" w:hAnsi="Arial" w:cs="Arial"/>
          <w:b/>
          <w:bCs/>
          <w:sz w:val="20"/>
          <w:szCs w:val="20"/>
        </w:rPr>
        <w:t xml:space="preserve">UE architecture to support PC1.5 intra-band </w:t>
      </w:r>
      <w:r>
        <w:rPr>
          <w:rFonts w:ascii="Arial" w:hAnsi="Arial" w:cs="Arial"/>
          <w:b/>
          <w:bCs/>
          <w:sz w:val="20"/>
          <w:szCs w:val="20"/>
        </w:rPr>
        <w:t>non-</w:t>
      </w:r>
      <w:r w:rsidRPr="00BC201E">
        <w:rPr>
          <w:rFonts w:ascii="Arial" w:hAnsi="Arial" w:cs="Arial"/>
          <w:b/>
          <w:bCs/>
          <w:sz w:val="20"/>
          <w:szCs w:val="20"/>
        </w:rPr>
        <w:t>contiguous UL CA</w:t>
      </w:r>
    </w:p>
    <w:p w14:paraId="16CD327A" w14:textId="77777777" w:rsidR="00F91F02" w:rsidRPr="008F0C7D" w:rsidRDefault="00F91F02" w:rsidP="00F91F02">
      <w:pPr>
        <w:jc w:val="center"/>
        <w:rPr>
          <w:rFonts w:ascii="Arial" w:hAnsi="Arial" w:cs="Arial"/>
          <w:sz w:val="20"/>
          <w:szCs w:val="20"/>
        </w:rPr>
      </w:pPr>
    </w:p>
    <w:p w14:paraId="6C402F78" w14:textId="0C257633" w:rsidR="00885A3C" w:rsidRDefault="000F3453" w:rsidP="00F91F02">
      <w:pPr>
        <w:jc w:val="center"/>
        <w:rPr>
          <w:rFonts w:ascii="Arial" w:hAnsi="Arial" w:cs="Arial"/>
          <w:sz w:val="20"/>
          <w:szCs w:val="20"/>
        </w:rPr>
      </w:pPr>
      <w:r>
        <w:rPr>
          <w:rFonts w:ascii="Arial" w:hAnsi="Arial" w:cs="Arial"/>
          <w:noProof/>
          <w:sz w:val="20"/>
          <w:szCs w:val="20"/>
        </w:rPr>
        <w:drawing>
          <wp:inline distT="0" distB="0" distL="0" distR="0" wp14:anchorId="143430B0" wp14:editId="4506908F">
            <wp:extent cx="5604874" cy="1775468"/>
            <wp:effectExtent l="0" t="0" r="0" b="2540"/>
            <wp:docPr id="746994853" name="Picture 3" descr="A diagram of a radio frequenc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994853" name="Picture 3" descr="A diagram of a radio frequency&#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616745" cy="1779228"/>
                    </a:xfrm>
                    <a:prstGeom prst="rect">
                      <a:avLst/>
                    </a:prstGeom>
                  </pic:spPr>
                </pic:pic>
              </a:graphicData>
            </a:graphic>
          </wp:inline>
        </w:drawing>
      </w:r>
    </w:p>
    <w:p w14:paraId="79D0C529" w14:textId="77777777" w:rsidR="001E3074" w:rsidRDefault="001E3074" w:rsidP="00F91F02">
      <w:pPr>
        <w:jc w:val="center"/>
        <w:rPr>
          <w:rFonts w:ascii="Arial" w:hAnsi="Arial" w:cs="Arial"/>
          <w:sz w:val="20"/>
          <w:szCs w:val="20"/>
        </w:rPr>
      </w:pPr>
    </w:p>
    <w:p w14:paraId="06E7D0FA" w14:textId="08639E48" w:rsidR="001E3074" w:rsidRDefault="001E3074" w:rsidP="001E3074">
      <w:pPr>
        <w:spacing w:after="120"/>
        <w:jc w:val="center"/>
        <w:rPr>
          <w:rFonts w:ascii="Arial" w:hAnsi="Arial" w:cs="Arial"/>
          <w:b/>
          <w:bCs/>
          <w:sz w:val="20"/>
          <w:szCs w:val="20"/>
        </w:rPr>
      </w:pPr>
      <w:r>
        <w:rPr>
          <w:rFonts w:ascii="Arial" w:hAnsi="Arial" w:cs="Arial"/>
          <w:b/>
          <w:bCs/>
          <w:sz w:val="20"/>
          <w:szCs w:val="20"/>
        </w:rPr>
        <w:t>Figure</w:t>
      </w:r>
      <w:r w:rsidRPr="00E02F18">
        <w:rPr>
          <w:rFonts w:ascii="Arial" w:hAnsi="Arial" w:cs="Arial"/>
          <w:b/>
          <w:bCs/>
          <w:sz w:val="20"/>
          <w:szCs w:val="20"/>
        </w:rPr>
        <w:t xml:space="preserve"> </w:t>
      </w:r>
      <w:r>
        <w:rPr>
          <w:rFonts w:ascii="Arial" w:hAnsi="Arial" w:cs="Arial"/>
          <w:b/>
          <w:bCs/>
          <w:sz w:val="20"/>
          <w:szCs w:val="20"/>
        </w:rPr>
        <w:t xml:space="preserve">2.2-2 Maximum PSD imbalance under extreme UL configuration for PC1.5 NC CA </w:t>
      </w:r>
    </w:p>
    <w:p w14:paraId="1E5EADF6" w14:textId="77777777" w:rsidR="001E3074" w:rsidRDefault="001E3074" w:rsidP="00F91F02">
      <w:pPr>
        <w:jc w:val="center"/>
        <w:rPr>
          <w:rFonts w:ascii="Arial" w:hAnsi="Arial" w:cs="Arial"/>
          <w:b/>
          <w:bCs/>
          <w:sz w:val="20"/>
          <w:szCs w:val="20"/>
        </w:rPr>
      </w:pPr>
    </w:p>
    <w:p w14:paraId="4EDBA6D9" w14:textId="77777777" w:rsidR="00BA5F24" w:rsidRDefault="00CE1748" w:rsidP="00BD28A6">
      <w:pPr>
        <w:spacing w:after="120"/>
        <w:jc w:val="both"/>
        <w:rPr>
          <w:rFonts w:ascii="Arial" w:hAnsi="Arial" w:cs="Arial"/>
          <w:bCs/>
          <w:i/>
          <w:iCs/>
          <w:sz w:val="20"/>
          <w:szCs w:val="20"/>
        </w:rPr>
      </w:pPr>
      <w:r w:rsidRPr="00CE1748">
        <w:rPr>
          <w:rFonts w:ascii="Arial" w:hAnsi="Arial" w:cs="Arial"/>
          <w:b/>
          <w:i/>
          <w:iCs/>
          <w:sz w:val="20"/>
          <w:szCs w:val="20"/>
        </w:rPr>
        <w:t xml:space="preserve">Observation </w:t>
      </w:r>
      <w:r>
        <w:rPr>
          <w:rFonts w:ascii="Arial" w:hAnsi="Arial" w:cs="Arial"/>
          <w:b/>
          <w:i/>
          <w:iCs/>
          <w:sz w:val="20"/>
          <w:szCs w:val="20"/>
        </w:rPr>
        <w:t>6</w:t>
      </w:r>
      <w:r w:rsidRPr="00CE1748">
        <w:rPr>
          <w:rFonts w:ascii="Arial" w:hAnsi="Arial" w:cs="Arial"/>
          <w:bCs/>
          <w:i/>
          <w:iCs/>
          <w:sz w:val="20"/>
          <w:szCs w:val="20"/>
        </w:rPr>
        <w:t>: For PC1.5 intra-band non-contiguous UL CA based on dualPA architecture</w:t>
      </w:r>
      <w:r>
        <w:rPr>
          <w:rFonts w:ascii="Arial" w:hAnsi="Arial" w:cs="Arial"/>
          <w:bCs/>
          <w:i/>
          <w:iCs/>
          <w:sz w:val="20"/>
          <w:szCs w:val="20"/>
        </w:rPr>
        <w:t xml:space="preserve">, each UL carrier can only </w:t>
      </w:r>
      <w:r w:rsidR="00BA5F24">
        <w:rPr>
          <w:rFonts w:ascii="Arial" w:hAnsi="Arial" w:cs="Arial"/>
          <w:bCs/>
          <w:i/>
          <w:iCs/>
          <w:sz w:val="20"/>
          <w:szCs w:val="20"/>
        </w:rPr>
        <w:t xml:space="preserve">be </w:t>
      </w:r>
      <w:r>
        <w:rPr>
          <w:rFonts w:ascii="Arial" w:hAnsi="Arial" w:cs="Arial"/>
          <w:bCs/>
          <w:i/>
          <w:iCs/>
          <w:sz w:val="20"/>
          <w:szCs w:val="20"/>
        </w:rPr>
        <w:t>transmit</w:t>
      </w:r>
      <w:r w:rsidR="00BA5F24">
        <w:rPr>
          <w:rFonts w:ascii="Arial" w:hAnsi="Arial" w:cs="Arial"/>
          <w:bCs/>
          <w:i/>
          <w:iCs/>
          <w:sz w:val="20"/>
          <w:szCs w:val="20"/>
        </w:rPr>
        <w:t>ted</w:t>
      </w:r>
      <w:r>
        <w:rPr>
          <w:rFonts w:ascii="Arial" w:hAnsi="Arial" w:cs="Arial"/>
          <w:bCs/>
          <w:i/>
          <w:iCs/>
          <w:sz w:val="20"/>
          <w:szCs w:val="20"/>
        </w:rPr>
        <w:t xml:space="preserve"> </w:t>
      </w:r>
      <w:r w:rsidR="00BA5F24">
        <w:rPr>
          <w:rFonts w:ascii="Arial" w:hAnsi="Arial" w:cs="Arial"/>
          <w:bCs/>
          <w:i/>
          <w:iCs/>
          <w:sz w:val="20"/>
          <w:szCs w:val="20"/>
        </w:rPr>
        <w:t>with up to 26dBm output power.</w:t>
      </w:r>
    </w:p>
    <w:p w14:paraId="2653C03E" w14:textId="77777777" w:rsidR="00BA5F24" w:rsidRPr="00BA5F24" w:rsidRDefault="00BA5F24" w:rsidP="00BA5F24">
      <w:pPr>
        <w:jc w:val="both"/>
        <w:rPr>
          <w:rFonts w:ascii="Arial" w:hAnsi="Arial" w:cs="Arial"/>
          <w:bCs/>
          <w:sz w:val="20"/>
          <w:szCs w:val="20"/>
        </w:rPr>
      </w:pPr>
    </w:p>
    <w:p w14:paraId="0648EE08" w14:textId="5D859ACD" w:rsidR="00CE1748" w:rsidRDefault="00BA5F24" w:rsidP="00BD28A6">
      <w:pPr>
        <w:spacing w:after="120"/>
        <w:jc w:val="both"/>
        <w:rPr>
          <w:rFonts w:ascii="Arial" w:hAnsi="Arial" w:cs="Arial"/>
          <w:sz w:val="20"/>
          <w:szCs w:val="20"/>
        </w:rPr>
      </w:pPr>
      <w:r w:rsidRPr="00CE1748">
        <w:rPr>
          <w:rFonts w:ascii="Arial" w:hAnsi="Arial" w:cs="Arial"/>
          <w:b/>
          <w:i/>
          <w:iCs/>
          <w:sz w:val="20"/>
          <w:szCs w:val="20"/>
        </w:rPr>
        <w:t xml:space="preserve">Observation </w:t>
      </w:r>
      <w:r w:rsidR="00E03AA2">
        <w:rPr>
          <w:rFonts w:ascii="Arial" w:hAnsi="Arial" w:cs="Arial"/>
          <w:b/>
          <w:i/>
          <w:iCs/>
          <w:sz w:val="20"/>
          <w:szCs w:val="20"/>
        </w:rPr>
        <w:t>7</w:t>
      </w:r>
      <w:r w:rsidRPr="00CE1748">
        <w:rPr>
          <w:rFonts w:ascii="Arial" w:hAnsi="Arial" w:cs="Arial"/>
          <w:bCs/>
          <w:i/>
          <w:iCs/>
          <w:sz w:val="20"/>
          <w:szCs w:val="20"/>
        </w:rPr>
        <w:t>: For PC1.5 intra-band non-contiguous UL CA based on dualPA architecture</w:t>
      </w:r>
      <w:r>
        <w:rPr>
          <w:rFonts w:ascii="Arial" w:hAnsi="Arial" w:cs="Arial"/>
          <w:bCs/>
          <w:i/>
          <w:iCs/>
          <w:sz w:val="20"/>
          <w:szCs w:val="20"/>
        </w:rPr>
        <w:t>, to reach the maximum total output power at 29 dBm, the PSD imbalance could be up to 24.4 dB between the two carriers.</w:t>
      </w:r>
    </w:p>
    <w:p w14:paraId="583C4DA9" w14:textId="77777777" w:rsidR="00CE1748" w:rsidRDefault="00CE1748" w:rsidP="00E03AA2">
      <w:pPr>
        <w:jc w:val="both"/>
        <w:rPr>
          <w:rFonts w:ascii="Arial" w:hAnsi="Arial" w:cs="Arial"/>
          <w:sz w:val="20"/>
          <w:szCs w:val="20"/>
        </w:rPr>
      </w:pPr>
    </w:p>
    <w:p w14:paraId="1E866288" w14:textId="36E05C28" w:rsidR="00BD28A6" w:rsidRDefault="00DE69C6" w:rsidP="00BD28A6">
      <w:pPr>
        <w:spacing w:after="120"/>
        <w:jc w:val="both"/>
        <w:rPr>
          <w:rFonts w:ascii="Arial" w:hAnsi="Arial" w:cs="Arial"/>
          <w:sz w:val="20"/>
          <w:szCs w:val="20"/>
        </w:rPr>
      </w:pPr>
      <w:r>
        <w:rPr>
          <w:rFonts w:ascii="Arial" w:hAnsi="Arial" w:cs="Arial"/>
          <w:sz w:val="20"/>
          <w:szCs w:val="20"/>
        </w:rPr>
        <w:t xml:space="preserve">Under the dualPA architecture, </w:t>
      </w:r>
      <w:r w:rsidR="00CC030E">
        <w:rPr>
          <w:rFonts w:ascii="Arial" w:hAnsi="Arial" w:cs="Arial"/>
          <w:sz w:val="20"/>
          <w:szCs w:val="20"/>
        </w:rPr>
        <w:t xml:space="preserve">to fully utilize the </w:t>
      </w:r>
      <w:r w:rsidR="00BD28A6">
        <w:rPr>
          <w:rFonts w:ascii="Arial" w:hAnsi="Arial" w:cs="Arial"/>
          <w:sz w:val="20"/>
          <w:szCs w:val="20"/>
        </w:rPr>
        <w:t xml:space="preserve">maximum </w:t>
      </w:r>
      <w:r w:rsidR="00CC030E">
        <w:rPr>
          <w:rFonts w:ascii="Arial" w:hAnsi="Arial" w:cs="Arial"/>
          <w:sz w:val="20"/>
          <w:szCs w:val="20"/>
        </w:rPr>
        <w:t xml:space="preserve">total output power capability at 29 dBm, </w:t>
      </w:r>
      <w:r>
        <w:rPr>
          <w:rFonts w:ascii="Arial" w:hAnsi="Arial" w:cs="Arial"/>
          <w:sz w:val="20"/>
          <w:szCs w:val="20"/>
        </w:rPr>
        <w:t xml:space="preserve">PSD imbalance </w:t>
      </w:r>
      <w:r w:rsidR="00CC030E">
        <w:rPr>
          <w:rFonts w:ascii="Arial" w:hAnsi="Arial" w:cs="Arial"/>
          <w:sz w:val="20"/>
          <w:szCs w:val="20"/>
        </w:rPr>
        <w:t>would</w:t>
      </w:r>
      <w:r>
        <w:rPr>
          <w:rFonts w:ascii="Arial" w:hAnsi="Arial" w:cs="Arial"/>
          <w:sz w:val="20"/>
          <w:szCs w:val="20"/>
        </w:rPr>
        <w:t xml:space="preserve"> be desired when there is unequal transmission bandwidth between the two carriers</w:t>
      </w:r>
      <w:r w:rsidR="00DB349A">
        <w:rPr>
          <w:rFonts w:ascii="Arial" w:hAnsi="Arial" w:cs="Arial"/>
          <w:sz w:val="20"/>
          <w:szCs w:val="20"/>
        </w:rPr>
        <w:t xml:space="preserve"> even the</w:t>
      </w:r>
      <w:r>
        <w:rPr>
          <w:rFonts w:ascii="Arial" w:hAnsi="Arial" w:cs="Arial"/>
          <w:sz w:val="20"/>
          <w:szCs w:val="20"/>
        </w:rPr>
        <w:t xml:space="preserve"> cell deployment </w:t>
      </w:r>
      <w:r w:rsidR="005E71D6">
        <w:rPr>
          <w:rFonts w:ascii="Arial" w:hAnsi="Arial" w:cs="Arial"/>
          <w:sz w:val="20"/>
          <w:szCs w:val="20"/>
        </w:rPr>
        <w:t>is</w:t>
      </w:r>
      <w:r>
        <w:rPr>
          <w:rFonts w:ascii="Arial" w:hAnsi="Arial" w:cs="Arial"/>
          <w:sz w:val="20"/>
          <w:szCs w:val="20"/>
        </w:rPr>
        <w:t xml:space="preserve"> collocated</w:t>
      </w:r>
      <w:r w:rsidR="00CC030E">
        <w:rPr>
          <w:rFonts w:ascii="Arial" w:hAnsi="Arial" w:cs="Arial"/>
          <w:sz w:val="20"/>
          <w:szCs w:val="20"/>
        </w:rPr>
        <w:t>. The narrow</w:t>
      </w:r>
      <w:r w:rsidR="003E7424">
        <w:rPr>
          <w:rFonts w:ascii="Arial" w:hAnsi="Arial" w:cs="Arial"/>
          <w:sz w:val="20"/>
          <w:szCs w:val="20"/>
        </w:rPr>
        <w:t>er</w:t>
      </w:r>
      <w:r w:rsidR="00CC030E">
        <w:rPr>
          <w:rFonts w:ascii="Arial" w:hAnsi="Arial" w:cs="Arial"/>
          <w:sz w:val="20"/>
          <w:szCs w:val="20"/>
        </w:rPr>
        <w:t xml:space="preserve"> carrier may leverage the higher PSD with better SNR at gNB to </w:t>
      </w:r>
      <w:r w:rsidR="003E7424">
        <w:rPr>
          <w:rFonts w:ascii="Arial" w:hAnsi="Arial" w:cs="Arial"/>
          <w:sz w:val="20"/>
          <w:szCs w:val="20"/>
        </w:rPr>
        <w:t>exploit</w:t>
      </w:r>
      <w:r w:rsidR="00CC030E">
        <w:rPr>
          <w:rFonts w:ascii="Arial" w:hAnsi="Arial" w:cs="Arial"/>
          <w:sz w:val="20"/>
          <w:szCs w:val="20"/>
        </w:rPr>
        <w:t xml:space="preserve"> higher order modulation </w:t>
      </w:r>
      <w:r w:rsidR="003E7424">
        <w:rPr>
          <w:rFonts w:ascii="Arial" w:hAnsi="Arial" w:cs="Arial"/>
          <w:sz w:val="20"/>
          <w:szCs w:val="20"/>
        </w:rPr>
        <w:t>for better UL throughput</w:t>
      </w:r>
      <w:r w:rsidR="00BD28A6">
        <w:rPr>
          <w:rFonts w:ascii="Arial" w:hAnsi="Arial" w:cs="Arial"/>
          <w:sz w:val="20"/>
          <w:szCs w:val="20"/>
        </w:rPr>
        <w:t>,</w:t>
      </w:r>
      <w:r w:rsidR="003E7424">
        <w:rPr>
          <w:rFonts w:ascii="Arial" w:hAnsi="Arial" w:cs="Arial"/>
          <w:sz w:val="20"/>
          <w:szCs w:val="20"/>
        </w:rPr>
        <w:t xml:space="preserve"> provided the emission requirements</w:t>
      </w:r>
      <w:r w:rsidR="00BD28A6">
        <w:rPr>
          <w:rFonts w:ascii="Arial" w:hAnsi="Arial" w:cs="Arial"/>
          <w:sz w:val="20"/>
          <w:szCs w:val="20"/>
        </w:rPr>
        <w:t xml:space="preserve"> can be fulfilled.</w:t>
      </w:r>
    </w:p>
    <w:p w14:paraId="719B1CEC" w14:textId="77777777" w:rsidR="00E03AA2" w:rsidRPr="00E03AA2" w:rsidRDefault="00E03AA2" w:rsidP="00E03AA2">
      <w:pPr>
        <w:jc w:val="both"/>
        <w:rPr>
          <w:rFonts w:ascii="Arial" w:hAnsi="Arial" w:cs="Arial"/>
          <w:bCs/>
          <w:sz w:val="20"/>
          <w:szCs w:val="20"/>
        </w:rPr>
      </w:pPr>
    </w:p>
    <w:p w14:paraId="2BBCFDA1" w14:textId="2DCBEA5F" w:rsidR="00BD28A6" w:rsidRPr="00E03AA2" w:rsidRDefault="00E03AA2" w:rsidP="00E03AA2">
      <w:pPr>
        <w:spacing w:after="120"/>
        <w:jc w:val="both"/>
        <w:rPr>
          <w:rFonts w:ascii="Arial" w:hAnsi="Arial" w:cs="Arial"/>
          <w:bCs/>
          <w:i/>
          <w:iCs/>
          <w:sz w:val="20"/>
          <w:szCs w:val="20"/>
        </w:rPr>
      </w:pPr>
      <w:r w:rsidRPr="00CE1748">
        <w:rPr>
          <w:rFonts w:ascii="Arial" w:hAnsi="Arial" w:cs="Arial"/>
          <w:b/>
          <w:i/>
          <w:iCs/>
          <w:sz w:val="20"/>
          <w:szCs w:val="20"/>
        </w:rPr>
        <w:t xml:space="preserve">Observation </w:t>
      </w:r>
      <w:r>
        <w:rPr>
          <w:rFonts w:ascii="Arial" w:hAnsi="Arial" w:cs="Arial"/>
          <w:b/>
          <w:i/>
          <w:iCs/>
          <w:sz w:val="20"/>
          <w:szCs w:val="20"/>
        </w:rPr>
        <w:t>8</w:t>
      </w:r>
      <w:r w:rsidRPr="00CE1748">
        <w:rPr>
          <w:rFonts w:ascii="Arial" w:hAnsi="Arial" w:cs="Arial"/>
          <w:bCs/>
          <w:i/>
          <w:iCs/>
          <w:sz w:val="20"/>
          <w:szCs w:val="20"/>
        </w:rPr>
        <w:t>: For PC1.5 intra-band non-contiguous UL CA based on dualPA architecture</w:t>
      </w:r>
      <w:r>
        <w:rPr>
          <w:rFonts w:ascii="Arial" w:hAnsi="Arial" w:cs="Arial"/>
          <w:bCs/>
          <w:i/>
          <w:iCs/>
          <w:sz w:val="20"/>
          <w:szCs w:val="20"/>
        </w:rPr>
        <w:t xml:space="preserve">, </w:t>
      </w:r>
      <w:r w:rsidRPr="00E03AA2">
        <w:rPr>
          <w:rFonts w:ascii="Arial" w:hAnsi="Arial" w:cs="Arial"/>
          <w:bCs/>
          <w:i/>
          <w:iCs/>
          <w:sz w:val="20"/>
          <w:szCs w:val="20"/>
        </w:rPr>
        <w:t>to fully utilize the maximum total output power capability at 29 dBm, PSD imbalance would be desired when there is unequal transmission bandwidth between the two carriers even the cell deployment is collocated.</w:t>
      </w:r>
    </w:p>
    <w:p w14:paraId="64CE3076" w14:textId="77777777" w:rsidR="00E03AA2" w:rsidRDefault="00E03AA2" w:rsidP="001E3074">
      <w:pPr>
        <w:jc w:val="both"/>
        <w:rPr>
          <w:rFonts w:ascii="Arial" w:hAnsi="Arial" w:cs="Arial"/>
          <w:sz w:val="20"/>
          <w:szCs w:val="20"/>
        </w:rPr>
      </w:pPr>
    </w:p>
    <w:p w14:paraId="4C390EA7" w14:textId="4C4C4C24" w:rsidR="009C66C6" w:rsidRDefault="00BD28A6" w:rsidP="0050162A">
      <w:pPr>
        <w:spacing w:after="120"/>
        <w:jc w:val="both"/>
        <w:rPr>
          <w:rFonts w:ascii="Arial" w:hAnsi="Arial" w:cs="Arial"/>
          <w:sz w:val="20"/>
          <w:szCs w:val="20"/>
        </w:rPr>
      </w:pPr>
      <w:r>
        <w:rPr>
          <w:rFonts w:ascii="Arial" w:hAnsi="Arial" w:cs="Arial"/>
          <w:sz w:val="20"/>
          <w:szCs w:val="20"/>
        </w:rPr>
        <w:t xml:space="preserve">On the other hand, MPR requirement is also expected to be referenced to PC1.5 maximum output power at 29 dBm, therefore, PSD imbalance would be unavoidable for MPR evaluations, and the imbalance could be up to 24.4 dB instead of only up to 6 dB. </w:t>
      </w:r>
      <w:r w:rsidR="00FB4DCE">
        <w:rPr>
          <w:rFonts w:ascii="Arial" w:hAnsi="Arial" w:cs="Arial"/>
          <w:sz w:val="20"/>
          <w:szCs w:val="20"/>
        </w:rPr>
        <w:t>C</w:t>
      </w:r>
      <w:r w:rsidR="0018140C">
        <w:rPr>
          <w:rFonts w:ascii="Arial" w:hAnsi="Arial" w:cs="Arial"/>
          <w:sz w:val="20"/>
          <w:szCs w:val="20"/>
        </w:rPr>
        <w:t>ompared to PC3 and PC2 MPR evaluations where equal PSD ha</w:t>
      </w:r>
      <w:r w:rsidR="00B53697">
        <w:rPr>
          <w:rFonts w:ascii="Arial" w:hAnsi="Arial" w:cs="Arial"/>
          <w:sz w:val="20"/>
          <w:szCs w:val="20"/>
        </w:rPr>
        <w:t>s</w:t>
      </w:r>
      <w:r w:rsidR="0018140C">
        <w:rPr>
          <w:rFonts w:ascii="Arial" w:hAnsi="Arial" w:cs="Arial"/>
          <w:sz w:val="20"/>
          <w:szCs w:val="20"/>
        </w:rPr>
        <w:t xml:space="preserve"> been assumed</w:t>
      </w:r>
      <w:r w:rsidR="00B53697">
        <w:rPr>
          <w:rFonts w:ascii="Arial" w:hAnsi="Arial" w:cs="Arial"/>
          <w:sz w:val="20"/>
          <w:szCs w:val="20"/>
        </w:rPr>
        <w:t xml:space="preserve"> and the power back-off is always evenly applied between the two carriers, the PC1.5 MPR evaluations with unequal PSD could be more complicated as the power back-off may not </w:t>
      </w:r>
      <w:r w:rsidR="0026644D">
        <w:rPr>
          <w:rFonts w:ascii="Arial" w:hAnsi="Arial" w:cs="Arial"/>
          <w:sz w:val="20"/>
          <w:szCs w:val="20"/>
        </w:rPr>
        <w:t xml:space="preserve">be evenly applied between the two carriers, or the UL performance could be compromised. Using the </w:t>
      </w:r>
      <w:r w:rsidR="00FB4DCE">
        <w:rPr>
          <w:rFonts w:ascii="Arial" w:hAnsi="Arial" w:cs="Arial"/>
          <w:sz w:val="20"/>
          <w:szCs w:val="20"/>
        </w:rPr>
        <w:t xml:space="preserve">above </w:t>
      </w:r>
      <w:r w:rsidR="0026644D">
        <w:rPr>
          <w:rFonts w:ascii="Arial" w:hAnsi="Arial" w:cs="Arial"/>
          <w:sz w:val="20"/>
          <w:szCs w:val="20"/>
        </w:rPr>
        <w:t xml:space="preserve">extreme PC1.5 UL configuration as an example, the IMD3 products on either side of the carriers would also </w:t>
      </w:r>
      <w:r w:rsidR="00DB349A">
        <w:rPr>
          <w:rFonts w:ascii="Arial" w:hAnsi="Arial" w:cs="Arial"/>
          <w:sz w:val="20"/>
          <w:szCs w:val="20"/>
        </w:rPr>
        <w:t>manifest</w:t>
      </w:r>
      <w:r w:rsidR="0026644D">
        <w:rPr>
          <w:rFonts w:ascii="Arial" w:hAnsi="Arial" w:cs="Arial"/>
          <w:sz w:val="20"/>
          <w:szCs w:val="20"/>
        </w:rPr>
        <w:t xml:space="preserve"> unequal PSD due </w:t>
      </w:r>
      <w:r w:rsidR="00DB349A">
        <w:rPr>
          <w:rFonts w:ascii="Arial" w:hAnsi="Arial" w:cs="Arial"/>
          <w:sz w:val="20"/>
          <w:szCs w:val="20"/>
        </w:rPr>
        <w:t xml:space="preserve">to </w:t>
      </w:r>
      <w:r w:rsidR="009C66C6">
        <w:rPr>
          <w:rFonts w:ascii="Arial" w:hAnsi="Arial" w:cs="Arial"/>
          <w:sz w:val="20"/>
          <w:szCs w:val="20"/>
        </w:rPr>
        <w:t xml:space="preserve">that the </w:t>
      </w:r>
      <w:r w:rsidR="00DB349A">
        <w:rPr>
          <w:rFonts w:ascii="Arial" w:hAnsi="Arial" w:cs="Arial"/>
          <w:sz w:val="20"/>
          <w:szCs w:val="20"/>
        </w:rPr>
        <w:t>same</w:t>
      </w:r>
      <w:r w:rsidR="009C66C6">
        <w:rPr>
          <w:rFonts w:ascii="Arial" w:hAnsi="Arial" w:cs="Arial"/>
          <w:sz w:val="20"/>
          <w:szCs w:val="20"/>
        </w:rPr>
        <w:t xml:space="preserve"> IMD3 power </w:t>
      </w:r>
      <w:r w:rsidR="00DB349A">
        <w:rPr>
          <w:rFonts w:ascii="Arial" w:hAnsi="Arial" w:cs="Arial"/>
          <w:sz w:val="20"/>
          <w:szCs w:val="20"/>
        </w:rPr>
        <w:t>(</w:t>
      </w:r>
      <w:r w:rsidR="005E71D6">
        <w:rPr>
          <w:rFonts w:ascii="Arial" w:hAnsi="Arial" w:cs="Arial"/>
          <w:sz w:val="20"/>
          <w:szCs w:val="20"/>
        </w:rPr>
        <w:t xml:space="preserve">assuming </w:t>
      </w:r>
      <w:r w:rsidR="00DB349A">
        <w:rPr>
          <w:rFonts w:ascii="Arial" w:hAnsi="Arial" w:cs="Arial"/>
          <w:sz w:val="20"/>
          <w:szCs w:val="20"/>
        </w:rPr>
        <w:t xml:space="preserve">same OIP3 for the two Tx paths) </w:t>
      </w:r>
      <w:r w:rsidR="009C66C6">
        <w:rPr>
          <w:rFonts w:ascii="Arial" w:hAnsi="Arial" w:cs="Arial"/>
          <w:sz w:val="20"/>
          <w:szCs w:val="20"/>
        </w:rPr>
        <w:t xml:space="preserve">is distributed over </w:t>
      </w:r>
      <w:r w:rsidR="0026644D">
        <w:rPr>
          <w:rFonts w:ascii="Arial" w:hAnsi="Arial" w:cs="Arial"/>
          <w:sz w:val="20"/>
          <w:szCs w:val="20"/>
        </w:rPr>
        <w:t xml:space="preserve">the </w:t>
      </w:r>
      <w:r w:rsidR="009C66C6">
        <w:rPr>
          <w:rFonts w:ascii="Arial" w:hAnsi="Arial" w:cs="Arial"/>
          <w:sz w:val="20"/>
          <w:szCs w:val="20"/>
        </w:rPr>
        <w:t>unequal bandwidth of the IMD3 products which is a result of frequency convolution</w:t>
      </w:r>
      <w:r w:rsidR="00177ADC">
        <w:rPr>
          <w:rFonts w:ascii="Arial" w:hAnsi="Arial" w:cs="Arial"/>
          <w:sz w:val="20"/>
          <w:szCs w:val="20"/>
        </w:rPr>
        <w:t xml:space="preserve"> as conceptually illustrated in Figure 2.2-</w:t>
      </w:r>
      <w:r w:rsidR="0050162A">
        <w:rPr>
          <w:rFonts w:ascii="Arial" w:hAnsi="Arial" w:cs="Arial"/>
          <w:sz w:val="20"/>
          <w:szCs w:val="20"/>
        </w:rPr>
        <w:t>3</w:t>
      </w:r>
      <w:r w:rsidR="00177ADC">
        <w:rPr>
          <w:rFonts w:ascii="Arial" w:hAnsi="Arial" w:cs="Arial"/>
          <w:sz w:val="20"/>
          <w:szCs w:val="20"/>
        </w:rPr>
        <w:t>.</w:t>
      </w:r>
    </w:p>
    <w:p w14:paraId="1F2B4D79" w14:textId="6145C23A" w:rsidR="001E3074" w:rsidRDefault="009C66C6" w:rsidP="001E3074">
      <w:pPr>
        <w:jc w:val="both"/>
        <w:rPr>
          <w:rFonts w:ascii="Arial" w:hAnsi="Arial" w:cs="Arial"/>
          <w:sz w:val="20"/>
          <w:szCs w:val="20"/>
        </w:rPr>
      </w:pPr>
      <w:r>
        <w:rPr>
          <w:rFonts w:ascii="Arial" w:hAnsi="Arial" w:cs="Arial"/>
          <w:sz w:val="20"/>
          <w:szCs w:val="20"/>
        </w:rPr>
        <w:t xml:space="preserve">  </w:t>
      </w:r>
      <w:r w:rsidR="0026644D">
        <w:rPr>
          <w:rFonts w:ascii="Arial" w:hAnsi="Arial" w:cs="Arial"/>
          <w:sz w:val="20"/>
          <w:szCs w:val="20"/>
        </w:rPr>
        <w:t xml:space="preserve">  </w:t>
      </w:r>
      <w:r w:rsidR="00B53697">
        <w:rPr>
          <w:rFonts w:ascii="Arial" w:hAnsi="Arial" w:cs="Arial"/>
          <w:sz w:val="20"/>
          <w:szCs w:val="20"/>
        </w:rPr>
        <w:t xml:space="preserve"> </w:t>
      </w:r>
      <w:r w:rsidR="00BD28A6">
        <w:rPr>
          <w:rFonts w:ascii="Arial" w:hAnsi="Arial" w:cs="Arial"/>
          <w:sz w:val="20"/>
          <w:szCs w:val="20"/>
        </w:rPr>
        <w:t xml:space="preserve">  </w:t>
      </w:r>
      <w:r w:rsidR="003E7424">
        <w:rPr>
          <w:rFonts w:ascii="Arial" w:hAnsi="Arial" w:cs="Arial"/>
          <w:sz w:val="20"/>
          <w:szCs w:val="20"/>
        </w:rPr>
        <w:t xml:space="preserve"> </w:t>
      </w:r>
      <w:r w:rsidR="00CC030E">
        <w:rPr>
          <w:rFonts w:ascii="Arial" w:hAnsi="Arial" w:cs="Arial"/>
          <w:sz w:val="20"/>
          <w:szCs w:val="20"/>
        </w:rPr>
        <w:t xml:space="preserve">  </w:t>
      </w:r>
    </w:p>
    <w:p w14:paraId="735C1C7B" w14:textId="708E3DE1" w:rsidR="001E3074" w:rsidRDefault="00177ADC" w:rsidP="00DB349A">
      <w:pPr>
        <w:jc w:val="center"/>
        <w:rPr>
          <w:rFonts w:ascii="Arial" w:hAnsi="Arial" w:cs="Arial"/>
          <w:sz w:val="20"/>
          <w:szCs w:val="20"/>
        </w:rPr>
      </w:pPr>
      <w:r>
        <w:rPr>
          <w:rFonts w:ascii="Arial" w:hAnsi="Arial" w:cs="Arial"/>
          <w:noProof/>
          <w:sz w:val="20"/>
          <w:szCs w:val="20"/>
        </w:rPr>
        <w:lastRenderedPageBreak/>
        <w:drawing>
          <wp:inline distT="0" distB="0" distL="0" distR="0" wp14:anchorId="1BE8C645" wp14:editId="0111295D">
            <wp:extent cx="6054632" cy="1491521"/>
            <wp:effectExtent l="0" t="0" r="3810" b="0"/>
            <wp:docPr id="1279412999" name="Picture 4"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412999" name="Picture 4" descr="A graph of a graph&#10;&#10;Description automatically generated with medium confidence"/>
                    <pic:cNvPicPr/>
                  </pic:nvPicPr>
                  <pic:blipFill>
                    <a:blip r:embed="rId12">
                      <a:extLst>
                        <a:ext uri="{28A0092B-C50C-407E-A947-70E740481C1C}">
                          <a14:useLocalDpi xmlns:a14="http://schemas.microsoft.com/office/drawing/2010/main" val="0"/>
                        </a:ext>
                      </a:extLst>
                    </a:blip>
                    <a:stretch>
                      <a:fillRect/>
                    </a:stretch>
                  </pic:blipFill>
                  <pic:spPr>
                    <a:xfrm>
                      <a:off x="0" y="0"/>
                      <a:ext cx="6195823" cy="1526303"/>
                    </a:xfrm>
                    <a:prstGeom prst="rect">
                      <a:avLst/>
                    </a:prstGeom>
                  </pic:spPr>
                </pic:pic>
              </a:graphicData>
            </a:graphic>
          </wp:inline>
        </w:drawing>
      </w:r>
    </w:p>
    <w:p w14:paraId="5EA496D0" w14:textId="77777777" w:rsidR="0050162A" w:rsidRDefault="0050162A" w:rsidP="001E3074">
      <w:pPr>
        <w:jc w:val="both"/>
        <w:rPr>
          <w:rFonts w:ascii="Arial" w:hAnsi="Arial" w:cs="Arial"/>
          <w:sz w:val="20"/>
          <w:szCs w:val="20"/>
        </w:rPr>
      </w:pPr>
    </w:p>
    <w:p w14:paraId="4164FA58" w14:textId="6DFF2184" w:rsidR="0050162A" w:rsidRDefault="0050162A" w:rsidP="0050162A">
      <w:pPr>
        <w:spacing w:after="120"/>
        <w:jc w:val="center"/>
        <w:rPr>
          <w:rFonts w:ascii="Arial" w:hAnsi="Arial" w:cs="Arial"/>
          <w:b/>
          <w:bCs/>
          <w:sz w:val="20"/>
          <w:szCs w:val="20"/>
        </w:rPr>
      </w:pPr>
      <w:r>
        <w:rPr>
          <w:rFonts w:ascii="Arial" w:hAnsi="Arial" w:cs="Arial"/>
          <w:b/>
          <w:bCs/>
          <w:sz w:val="20"/>
          <w:szCs w:val="20"/>
        </w:rPr>
        <w:t>Figure</w:t>
      </w:r>
      <w:r w:rsidRPr="00E02F18">
        <w:rPr>
          <w:rFonts w:ascii="Arial" w:hAnsi="Arial" w:cs="Arial"/>
          <w:b/>
          <w:bCs/>
          <w:sz w:val="20"/>
          <w:szCs w:val="20"/>
        </w:rPr>
        <w:t xml:space="preserve"> </w:t>
      </w:r>
      <w:r>
        <w:rPr>
          <w:rFonts w:ascii="Arial" w:hAnsi="Arial" w:cs="Arial"/>
          <w:b/>
          <w:bCs/>
          <w:sz w:val="20"/>
          <w:szCs w:val="20"/>
        </w:rPr>
        <w:t>2.2-3 Conceptual illustration of IMD3 products from unequal PSD carriers</w:t>
      </w:r>
    </w:p>
    <w:p w14:paraId="7DB1E6AB" w14:textId="77777777" w:rsidR="005E71D6" w:rsidRDefault="005E71D6" w:rsidP="005E71D6">
      <w:pPr>
        <w:jc w:val="both"/>
        <w:rPr>
          <w:rFonts w:ascii="Arial" w:hAnsi="Arial" w:cs="Arial"/>
          <w:sz w:val="20"/>
          <w:szCs w:val="20"/>
        </w:rPr>
      </w:pPr>
    </w:p>
    <w:p w14:paraId="0F03D287" w14:textId="18EC400D" w:rsidR="00E03AA2" w:rsidRDefault="00E03AA2" w:rsidP="005E71D6">
      <w:pPr>
        <w:spacing w:after="120"/>
        <w:jc w:val="both"/>
        <w:rPr>
          <w:rFonts w:ascii="Arial" w:hAnsi="Arial" w:cs="Arial"/>
          <w:sz w:val="20"/>
          <w:szCs w:val="20"/>
        </w:rPr>
      </w:pPr>
      <w:r w:rsidRPr="00CE1748">
        <w:rPr>
          <w:rFonts w:ascii="Arial" w:hAnsi="Arial" w:cs="Arial"/>
          <w:b/>
          <w:i/>
          <w:iCs/>
          <w:sz w:val="20"/>
          <w:szCs w:val="20"/>
        </w:rPr>
        <w:t xml:space="preserve">Observation </w:t>
      </w:r>
      <w:r>
        <w:rPr>
          <w:rFonts w:ascii="Arial" w:hAnsi="Arial" w:cs="Arial"/>
          <w:b/>
          <w:i/>
          <w:iCs/>
          <w:sz w:val="20"/>
          <w:szCs w:val="20"/>
        </w:rPr>
        <w:t>9</w:t>
      </w:r>
      <w:r w:rsidRPr="00CE1748">
        <w:rPr>
          <w:rFonts w:ascii="Arial" w:hAnsi="Arial" w:cs="Arial"/>
          <w:bCs/>
          <w:i/>
          <w:iCs/>
          <w:sz w:val="20"/>
          <w:szCs w:val="20"/>
        </w:rPr>
        <w:t>: For PC1.5 intra-band non-contiguous UL CA based on dualPA architecture</w:t>
      </w:r>
      <w:r>
        <w:rPr>
          <w:rFonts w:ascii="Arial" w:hAnsi="Arial" w:cs="Arial"/>
          <w:bCs/>
          <w:i/>
          <w:iCs/>
          <w:sz w:val="20"/>
          <w:szCs w:val="20"/>
        </w:rPr>
        <w:t xml:space="preserve">, </w:t>
      </w:r>
      <w:r w:rsidRPr="00E03AA2">
        <w:rPr>
          <w:rFonts w:ascii="Arial" w:hAnsi="Arial" w:cs="Arial"/>
          <w:bCs/>
          <w:i/>
          <w:iCs/>
          <w:sz w:val="20"/>
          <w:szCs w:val="20"/>
        </w:rPr>
        <w:t xml:space="preserve">MPR requirement is expected to be referenced to </w:t>
      </w:r>
      <w:r>
        <w:rPr>
          <w:rFonts w:ascii="Arial" w:hAnsi="Arial" w:cs="Arial"/>
          <w:bCs/>
          <w:i/>
          <w:iCs/>
          <w:sz w:val="20"/>
          <w:szCs w:val="20"/>
        </w:rPr>
        <w:t xml:space="preserve">PC1.5 </w:t>
      </w:r>
      <w:r w:rsidRPr="00E03AA2">
        <w:rPr>
          <w:rFonts w:ascii="Arial" w:hAnsi="Arial" w:cs="Arial"/>
          <w:bCs/>
          <w:i/>
          <w:iCs/>
          <w:sz w:val="20"/>
          <w:szCs w:val="20"/>
        </w:rPr>
        <w:t>maximum output power at 29 dBm, therefore, PSD imbalance would be unavoidable for MPR evaluations</w:t>
      </w:r>
      <w:r>
        <w:rPr>
          <w:rFonts w:ascii="Arial" w:hAnsi="Arial" w:cs="Arial"/>
          <w:bCs/>
          <w:i/>
          <w:iCs/>
          <w:sz w:val="20"/>
          <w:szCs w:val="20"/>
        </w:rPr>
        <w:t>.</w:t>
      </w:r>
    </w:p>
    <w:p w14:paraId="23F3A94E" w14:textId="77777777" w:rsidR="00E03AA2" w:rsidRDefault="00E03AA2" w:rsidP="00E03AA2">
      <w:pPr>
        <w:jc w:val="both"/>
        <w:rPr>
          <w:rFonts w:ascii="Arial" w:hAnsi="Arial" w:cs="Arial"/>
          <w:sz w:val="20"/>
          <w:szCs w:val="20"/>
        </w:rPr>
      </w:pPr>
    </w:p>
    <w:p w14:paraId="543225AA" w14:textId="7272A20C" w:rsidR="00E03AA2" w:rsidRDefault="00E03AA2" w:rsidP="00E03AA2">
      <w:pPr>
        <w:spacing w:after="120"/>
        <w:jc w:val="both"/>
        <w:rPr>
          <w:rFonts w:ascii="Arial" w:hAnsi="Arial" w:cs="Arial"/>
          <w:sz w:val="20"/>
          <w:szCs w:val="20"/>
        </w:rPr>
      </w:pPr>
      <w:r w:rsidRPr="00CE1748">
        <w:rPr>
          <w:rFonts w:ascii="Arial" w:hAnsi="Arial" w:cs="Arial"/>
          <w:b/>
          <w:i/>
          <w:iCs/>
          <w:sz w:val="20"/>
          <w:szCs w:val="20"/>
        </w:rPr>
        <w:t>Observation</w:t>
      </w:r>
      <w:r>
        <w:rPr>
          <w:rFonts w:ascii="Arial" w:hAnsi="Arial" w:cs="Arial"/>
          <w:b/>
          <w:i/>
          <w:iCs/>
          <w:sz w:val="20"/>
          <w:szCs w:val="20"/>
        </w:rPr>
        <w:t xml:space="preserve"> 10</w:t>
      </w:r>
      <w:r w:rsidRPr="00CE1748">
        <w:rPr>
          <w:rFonts w:ascii="Arial" w:hAnsi="Arial" w:cs="Arial"/>
          <w:bCs/>
          <w:i/>
          <w:iCs/>
          <w:sz w:val="20"/>
          <w:szCs w:val="20"/>
        </w:rPr>
        <w:t xml:space="preserve">: </w:t>
      </w:r>
      <w:r w:rsidRPr="00E03AA2">
        <w:rPr>
          <w:rFonts w:ascii="Arial" w:hAnsi="Arial" w:cs="Arial"/>
          <w:bCs/>
          <w:i/>
          <w:iCs/>
          <w:sz w:val="20"/>
          <w:szCs w:val="20"/>
        </w:rPr>
        <w:t>PC1.5 MPR evaluations with unequal PSD could be more complicated as the power back-off may not be evenly applied between the two carriers, or the UL performance could be compromised.</w:t>
      </w:r>
    </w:p>
    <w:p w14:paraId="3F0F9774" w14:textId="77777777" w:rsidR="00E03AA2" w:rsidRDefault="00E03AA2" w:rsidP="00144D7A">
      <w:pPr>
        <w:jc w:val="both"/>
        <w:rPr>
          <w:rFonts w:ascii="Arial" w:hAnsi="Arial" w:cs="Arial"/>
          <w:sz w:val="20"/>
          <w:szCs w:val="20"/>
        </w:rPr>
      </w:pPr>
    </w:p>
    <w:p w14:paraId="240F118B" w14:textId="5568BFDA" w:rsidR="00CE1748" w:rsidRDefault="005E71D6" w:rsidP="005E71D6">
      <w:pPr>
        <w:spacing w:after="120"/>
        <w:jc w:val="both"/>
        <w:rPr>
          <w:rFonts w:ascii="Arial" w:hAnsi="Arial" w:cs="Arial"/>
          <w:sz w:val="20"/>
          <w:szCs w:val="20"/>
        </w:rPr>
      </w:pPr>
      <w:r>
        <w:rPr>
          <w:rFonts w:ascii="Arial" w:hAnsi="Arial" w:cs="Arial"/>
          <w:sz w:val="20"/>
          <w:szCs w:val="20"/>
        </w:rPr>
        <w:t xml:space="preserve">As the IMD3 close to the narrower carrier </w:t>
      </w:r>
      <w:r w:rsidR="003177CF">
        <w:rPr>
          <w:rFonts w:ascii="Arial" w:hAnsi="Arial" w:cs="Arial"/>
          <w:sz w:val="20"/>
          <w:szCs w:val="20"/>
        </w:rPr>
        <w:t xml:space="preserve">is failing the emission limit with higher PSD but not the IMD3 close to the wider carrier with lower PSD, </w:t>
      </w:r>
      <w:r w:rsidR="00E46A3C">
        <w:rPr>
          <w:rFonts w:ascii="Arial" w:hAnsi="Arial" w:cs="Arial"/>
          <w:sz w:val="20"/>
          <w:szCs w:val="20"/>
        </w:rPr>
        <w:t>intuition tells that</w:t>
      </w:r>
      <w:r w:rsidR="003177CF">
        <w:rPr>
          <w:rFonts w:ascii="Arial" w:hAnsi="Arial" w:cs="Arial"/>
          <w:sz w:val="20"/>
          <w:szCs w:val="20"/>
        </w:rPr>
        <w:t xml:space="preserve"> </w:t>
      </w:r>
      <w:r w:rsidR="00E46A3C">
        <w:rPr>
          <w:rFonts w:ascii="Arial" w:hAnsi="Arial" w:cs="Arial"/>
          <w:sz w:val="20"/>
          <w:szCs w:val="20"/>
        </w:rPr>
        <w:t>MPR</w:t>
      </w:r>
      <w:r w:rsidR="003177CF">
        <w:rPr>
          <w:rFonts w:ascii="Arial" w:hAnsi="Arial" w:cs="Arial"/>
          <w:sz w:val="20"/>
          <w:szCs w:val="20"/>
        </w:rPr>
        <w:t xml:space="preserve"> would be more efficient </w:t>
      </w:r>
      <w:r w:rsidR="00E46A3C">
        <w:rPr>
          <w:rFonts w:ascii="Arial" w:hAnsi="Arial" w:cs="Arial"/>
          <w:sz w:val="20"/>
          <w:szCs w:val="20"/>
        </w:rPr>
        <w:t>when</w:t>
      </w:r>
      <w:r w:rsidR="003177CF">
        <w:rPr>
          <w:rFonts w:ascii="Arial" w:hAnsi="Arial" w:cs="Arial"/>
          <w:sz w:val="20"/>
          <w:szCs w:val="20"/>
        </w:rPr>
        <w:t xml:space="preserve"> apply</w:t>
      </w:r>
      <w:r w:rsidR="00E46A3C">
        <w:rPr>
          <w:rFonts w:ascii="Arial" w:hAnsi="Arial" w:cs="Arial"/>
          <w:sz w:val="20"/>
          <w:szCs w:val="20"/>
        </w:rPr>
        <w:t>ing</w:t>
      </w:r>
      <w:r w:rsidR="003177CF">
        <w:rPr>
          <w:rFonts w:ascii="Arial" w:hAnsi="Arial" w:cs="Arial"/>
          <w:sz w:val="20"/>
          <w:szCs w:val="20"/>
        </w:rPr>
        <w:t xml:space="preserve"> more power back-off on the narrower carrier </w:t>
      </w:r>
      <w:r w:rsidR="00E46A3C">
        <w:rPr>
          <w:rFonts w:ascii="Arial" w:hAnsi="Arial" w:cs="Arial"/>
          <w:sz w:val="20"/>
          <w:szCs w:val="20"/>
        </w:rPr>
        <w:t xml:space="preserve">than the wider carrier. However, MPR </w:t>
      </w:r>
      <w:r w:rsidR="004A5136">
        <w:rPr>
          <w:rFonts w:ascii="Arial" w:hAnsi="Arial" w:cs="Arial"/>
          <w:sz w:val="20"/>
          <w:szCs w:val="20"/>
        </w:rPr>
        <w:t>evaluations based on uneven power back-off could be rather complicated and time consuming</w:t>
      </w:r>
      <w:r w:rsidR="00897B5F">
        <w:rPr>
          <w:rFonts w:ascii="Arial" w:hAnsi="Arial" w:cs="Arial"/>
          <w:sz w:val="20"/>
          <w:szCs w:val="20"/>
        </w:rPr>
        <w:t xml:space="preserve">. </w:t>
      </w:r>
    </w:p>
    <w:p w14:paraId="57908210" w14:textId="77777777" w:rsidR="00144D7A" w:rsidRDefault="00144D7A" w:rsidP="00144D7A">
      <w:pPr>
        <w:jc w:val="both"/>
        <w:rPr>
          <w:rFonts w:ascii="Arial" w:hAnsi="Arial" w:cs="Arial"/>
          <w:sz w:val="20"/>
          <w:szCs w:val="20"/>
        </w:rPr>
      </w:pPr>
    </w:p>
    <w:p w14:paraId="10C6DF4E" w14:textId="7B7C59D9" w:rsidR="00CE1748" w:rsidRDefault="00144D7A" w:rsidP="005E71D6">
      <w:pPr>
        <w:spacing w:after="120"/>
        <w:jc w:val="both"/>
        <w:rPr>
          <w:rFonts w:ascii="Arial" w:hAnsi="Arial" w:cs="Arial"/>
          <w:sz w:val="20"/>
          <w:szCs w:val="20"/>
        </w:rPr>
      </w:pPr>
      <w:r w:rsidRPr="00CE1748">
        <w:rPr>
          <w:rFonts w:ascii="Arial" w:hAnsi="Arial" w:cs="Arial"/>
          <w:b/>
          <w:i/>
          <w:iCs/>
          <w:sz w:val="20"/>
          <w:szCs w:val="20"/>
        </w:rPr>
        <w:t>Observation</w:t>
      </w:r>
      <w:r>
        <w:rPr>
          <w:rFonts w:ascii="Arial" w:hAnsi="Arial" w:cs="Arial"/>
          <w:b/>
          <w:i/>
          <w:iCs/>
          <w:sz w:val="20"/>
          <w:szCs w:val="20"/>
        </w:rPr>
        <w:t xml:space="preserve"> 11</w:t>
      </w:r>
      <w:r w:rsidRPr="00CE1748">
        <w:rPr>
          <w:rFonts w:ascii="Arial" w:hAnsi="Arial" w:cs="Arial"/>
          <w:bCs/>
          <w:i/>
          <w:iCs/>
          <w:sz w:val="20"/>
          <w:szCs w:val="20"/>
        </w:rPr>
        <w:t xml:space="preserve">: </w:t>
      </w:r>
      <w:r w:rsidRPr="00144D7A">
        <w:rPr>
          <w:rFonts w:ascii="Arial" w:hAnsi="Arial" w:cs="Arial"/>
          <w:bCs/>
          <w:i/>
          <w:iCs/>
          <w:sz w:val="20"/>
          <w:szCs w:val="20"/>
        </w:rPr>
        <w:t>MPR evaluations based on uneven power back-off could be rather complicated and time consuming.</w:t>
      </w:r>
    </w:p>
    <w:p w14:paraId="01908190" w14:textId="77777777" w:rsidR="00144D7A" w:rsidRDefault="00144D7A" w:rsidP="00144D7A">
      <w:pPr>
        <w:jc w:val="both"/>
        <w:rPr>
          <w:rFonts w:ascii="Arial" w:hAnsi="Arial" w:cs="Arial"/>
          <w:sz w:val="20"/>
          <w:szCs w:val="20"/>
        </w:rPr>
      </w:pPr>
    </w:p>
    <w:p w14:paraId="4069F23D" w14:textId="4944BFA7" w:rsidR="00EF6BAF" w:rsidRDefault="00EF6BAF" w:rsidP="00EF6BAF">
      <w:pPr>
        <w:spacing w:after="120"/>
        <w:jc w:val="both"/>
        <w:rPr>
          <w:rFonts w:ascii="Arial" w:hAnsi="Arial" w:cs="Arial"/>
          <w:sz w:val="20"/>
          <w:szCs w:val="20"/>
        </w:rPr>
      </w:pPr>
      <w:r>
        <w:rPr>
          <w:rFonts w:ascii="Arial" w:hAnsi="Arial" w:cs="Arial"/>
          <w:sz w:val="20"/>
          <w:szCs w:val="20"/>
        </w:rPr>
        <w:t xml:space="preserve">On the other hand, for PC3 and PC2 intra-band non-contiguous UL CA, there is already relatively high MPR, as summarized in Table 2.2-1, to meet the </w:t>
      </w:r>
      <w:r w:rsidRPr="00897B5F">
        <w:rPr>
          <w:rFonts w:ascii="Arial" w:hAnsi="Arial" w:cs="Arial"/>
          <w:sz w:val="20"/>
          <w:szCs w:val="20"/>
        </w:rPr>
        <w:t>general spurious emission requirement at -30dBm/MHz which would have substantial impact on UL coverage.</w:t>
      </w:r>
    </w:p>
    <w:p w14:paraId="6FC03403" w14:textId="77777777" w:rsidR="00EF6BAF" w:rsidRDefault="00EF6BAF" w:rsidP="00144D7A">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795"/>
        <w:gridCol w:w="1440"/>
        <w:gridCol w:w="1800"/>
        <w:gridCol w:w="1440"/>
      </w:tblGrid>
      <w:tr w:rsidR="00EF6BAF" w:rsidRPr="00EF6BAF" w14:paraId="7750CA6D" w14:textId="77777777" w:rsidTr="00EF7222">
        <w:trPr>
          <w:trHeight w:val="288"/>
          <w:jc w:val="center"/>
        </w:trPr>
        <w:tc>
          <w:tcPr>
            <w:tcW w:w="3235" w:type="dxa"/>
            <w:gridSpan w:val="2"/>
            <w:vAlign w:val="center"/>
          </w:tcPr>
          <w:p w14:paraId="20DF3500" w14:textId="50138BDE" w:rsidR="00EF6BAF" w:rsidRPr="00EF6BAF" w:rsidRDefault="00EF6BAF" w:rsidP="00EF6BAF">
            <w:pPr>
              <w:jc w:val="center"/>
              <w:rPr>
                <w:rFonts w:ascii="Arial" w:hAnsi="Arial" w:cs="Arial"/>
                <w:sz w:val="18"/>
                <w:szCs w:val="18"/>
              </w:rPr>
            </w:pPr>
            <w:r w:rsidRPr="00EF6BAF">
              <w:rPr>
                <w:rFonts w:ascii="Arial" w:hAnsi="Arial" w:cs="Arial"/>
                <w:sz w:val="18"/>
                <w:szCs w:val="18"/>
              </w:rPr>
              <w:t>PC3</w:t>
            </w:r>
          </w:p>
        </w:tc>
        <w:tc>
          <w:tcPr>
            <w:tcW w:w="3240" w:type="dxa"/>
            <w:gridSpan w:val="2"/>
            <w:vAlign w:val="center"/>
          </w:tcPr>
          <w:p w14:paraId="79D18E66" w14:textId="62AA20BE" w:rsidR="00EF6BAF" w:rsidRPr="00EF6BAF" w:rsidRDefault="00EF6BAF" w:rsidP="00EF6BAF">
            <w:pPr>
              <w:jc w:val="center"/>
              <w:rPr>
                <w:rFonts w:ascii="Arial" w:hAnsi="Arial" w:cs="Arial"/>
                <w:sz w:val="18"/>
                <w:szCs w:val="18"/>
              </w:rPr>
            </w:pPr>
            <w:r>
              <w:rPr>
                <w:rFonts w:ascii="Arial" w:hAnsi="Arial" w:cs="Arial"/>
                <w:sz w:val="18"/>
                <w:szCs w:val="18"/>
              </w:rPr>
              <w:t>PC2</w:t>
            </w:r>
          </w:p>
        </w:tc>
      </w:tr>
      <w:tr w:rsidR="00EF6BAF" w:rsidRPr="00EF6BAF" w14:paraId="11320695" w14:textId="77777777" w:rsidTr="00EF6BAF">
        <w:trPr>
          <w:trHeight w:val="288"/>
          <w:jc w:val="center"/>
        </w:trPr>
        <w:tc>
          <w:tcPr>
            <w:tcW w:w="1795" w:type="dxa"/>
            <w:vAlign w:val="center"/>
          </w:tcPr>
          <w:p w14:paraId="71729CAC" w14:textId="45BE831B" w:rsidR="00EF6BAF" w:rsidRPr="00EF6BAF" w:rsidRDefault="00EF6BAF" w:rsidP="00EF6BAF">
            <w:pPr>
              <w:jc w:val="center"/>
              <w:rPr>
                <w:rFonts w:ascii="Arial" w:hAnsi="Arial" w:cs="Arial"/>
                <w:sz w:val="18"/>
                <w:szCs w:val="18"/>
              </w:rPr>
            </w:pPr>
            <w:r>
              <w:rPr>
                <w:rFonts w:ascii="Arial" w:hAnsi="Arial" w:cs="Arial"/>
                <w:sz w:val="18"/>
                <w:szCs w:val="18"/>
              </w:rPr>
              <w:t>B (MHz)</w:t>
            </w:r>
          </w:p>
        </w:tc>
        <w:tc>
          <w:tcPr>
            <w:tcW w:w="1440" w:type="dxa"/>
            <w:vAlign w:val="center"/>
          </w:tcPr>
          <w:p w14:paraId="54F17409" w14:textId="2E8CFF0E" w:rsidR="00EF6BAF" w:rsidRPr="00EF6BAF" w:rsidRDefault="00EF6BAF" w:rsidP="00EF6BAF">
            <w:pPr>
              <w:jc w:val="center"/>
              <w:rPr>
                <w:rFonts w:ascii="Arial" w:hAnsi="Arial" w:cs="Arial"/>
                <w:sz w:val="18"/>
                <w:szCs w:val="18"/>
              </w:rPr>
            </w:pPr>
            <w:r>
              <w:rPr>
                <w:rFonts w:ascii="Arial" w:hAnsi="Arial" w:cs="Arial"/>
                <w:sz w:val="18"/>
                <w:szCs w:val="18"/>
              </w:rPr>
              <w:t>MPR (dB)</w:t>
            </w:r>
          </w:p>
        </w:tc>
        <w:tc>
          <w:tcPr>
            <w:tcW w:w="1800" w:type="dxa"/>
            <w:vAlign w:val="center"/>
          </w:tcPr>
          <w:p w14:paraId="4DFD595B" w14:textId="3484F31A" w:rsidR="00EF6BAF" w:rsidRPr="00EF6BAF" w:rsidRDefault="00EF6BAF" w:rsidP="00EF6BAF">
            <w:pPr>
              <w:jc w:val="center"/>
              <w:rPr>
                <w:rFonts w:ascii="Arial" w:hAnsi="Arial" w:cs="Arial"/>
                <w:sz w:val="18"/>
                <w:szCs w:val="18"/>
              </w:rPr>
            </w:pPr>
            <w:r>
              <w:rPr>
                <w:rFonts w:ascii="Arial" w:hAnsi="Arial" w:cs="Arial"/>
                <w:sz w:val="18"/>
                <w:szCs w:val="18"/>
              </w:rPr>
              <w:t>B (MHz)</w:t>
            </w:r>
          </w:p>
        </w:tc>
        <w:tc>
          <w:tcPr>
            <w:tcW w:w="1440" w:type="dxa"/>
            <w:vAlign w:val="center"/>
          </w:tcPr>
          <w:p w14:paraId="0B59DAF8" w14:textId="6B6EEAA2" w:rsidR="00EF6BAF" w:rsidRPr="00EF6BAF" w:rsidRDefault="00EF6BAF" w:rsidP="00EF6BAF">
            <w:pPr>
              <w:jc w:val="center"/>
              <w:rPr>
                <w:rFonts w:ascii="Arial" w:hAnsi="Arial" w:cs="Arial"/>
                <w:sz w:val="18"/>
                <w:szCs w:val="18"/>
              </w:rPr>
            </w:pPr>
            <w:r>
              <w:rPr>
                <w:rFonts w:ascii="Arial" w:hAnsi="Arial" w:cs="Arial"/>
                <w:sz w:val="18"/>
                <w:szCs w:val="18"/>
              </w:rPr>
              <w:t>MPR (dB)</w:t>
            </w:r>
          </w:p>
        </w:tc>
      </w:tr>
      <w:tr w:rsidR="005C6E42" w:rsidRPr="00EF6BAF" w14:paraId="43703A65" w14:textId="77777777" w:rsidTr="005C6E42">
        <w:trPr>
          <w:trHeight w:val="288"/>
          <w:jc w:val="center"/>
        </w:trPr>
        <w:tc>
          <w:tcPr>
            <w:tcW w:w="1795" w:type="dxa"/>
            <w:vAlign w:val="center"/>
          </w:tcPr>
          <w:p w14:paraId="4733353B" w14:textId="7AEDCED0" w:rsidR="005C6E42" w:rsidRPr="00EF6BAF" w:rsidRDefault="005C6E42" w:rsidP="005C6E42">
            <w:pPr>
              <w:jc w:val="center"/>
              <w:rPr>
                <w:rFonts w:ascii="Arial" w:hAnsi="Arial" w:cs="Arial"/>
                <w:sz w:val="18"/>
                <w:szCs w:val="18"/>
              </w:rPr>
            </w:pPr>
            <w:r w:rsidRPr="00EF6BAF">
              <w:rPr>
                <w:rFonts w:ascii="Arial" w:hAnsi="Arial" w:cs="Arial"/>
                <w:color w:val="000000"/>
                <w:sz w:val="18"/>
                <w:szCs w:val="18"/>
              </w:rPr>
              <w:t>0 ≤ B &lt; 1.08</w:t>
            </w:r>
          </w:p>
        </w:tc>
        <w:tc>
          <w:tcPr>
            <w:tcW w:w="1440" w:type="dxa"/>
            <w:vAlign w:val="center"/>
          </w:tcPr>
          <w:p w14:paraId="128DEDA1" w14:textId="14025F15" w:rsidR="005C6E42" w:rsidRPr="00EF6BAF" w:rsidRDefault="005C6E42" w:rsidP="005C6E42">
            <w:pPr>
              <w:jc w:val="center"/>
              <w:rPr>
                <w:rFonts w:ascii="Arial" w:hAnsi="Arial" w:cs="Arial"/>
                <w:sz w:val="18"/>
                <w:szCs w:val="18"/>
              </w:rPr>
            </w:pPr>
            <w:r w:rsidRPr="00EF6BAF">
              <w:rPr>
                <w:rFonts w:ascii="Arial" w:hAnsi="Arial" w:cs="Arial"/>
                <w:sz w:val="18"/>
                <w:szCs w:val="18"/>
              </w:rPr>
              <w:t>15.0</w:t>
            </w:r>
          </w:p>
        </w:tc>
        <w:tc>
          <w:tcPr>
            <w:tcW w:w="1800" w:type="dxa"/>
            <w:vAlign w:val="center"/>
          </w:tcPr>
          <w:p w14:paraId="69E2011E" w14:textId="017FE24F" w:rsidR="005C6E42" w:rsidRPr="005C6E42" w:rsidRDefault="005C6E42" w:rsidP="005C6E42">
            <w:pPr>
              <w:jc w:val="center"/>
              <w:rPr>
                <w:rFonts w:ascii="Arial" w:hAnsi="Arial" w:cs="Arial"/>
                <w:sz w:val="18"/>
                <w:szCs w:val="18"/>
              </w:rPr>
            </w:pPr>
            <w:r w:rsidRPr="005C6E42">
              <w:rPr>
                <w:rFonts w:ascii="Arial" w:hAnsi="Arial" w:cs="Arial"/>
                <w:sz w:val="18"/>
                <w:szCs w:val="18"/>
              </w:rPr>
              <w:t>0 ≤ B &lt; 1.44</w:t>
            </w:r>
          </w:p>
        </w:tc>
        <w:tc>
          <w:tcPr>
            <w:tcW w:w="1440" w:type="dxa"/>
            <w:vAlign w:val="center"/>
          </w:tcPr>
          <w:p w14:paraId="1E51CE9E" w14:textId="7D4052FF" w:rsidR="005C6E42" w:rsidRPr="005C6E42" w:rsidRDefault="005C6E42" w:rsidP="005C6E42">
            <w:pPr>
              <w:jc w:val="center"/>
              <w:rPr>
                <w:rFonts w:ascii="Arial" w:hAnsi="Arial" w:cs="Arial"/>
                <w:sz w:val="18"/>
                <w:szCs w:val="18"/>
              </w:rPr>
            </w:pPr>
            <w:r w:rsidRPr="005C6E42">
              <w:rPr>
                <w:rFonts w:ascii="Arial" w:hAnsi="Arial" w:cs="Arial"/>
                <w:sz w:val="18"/>
                <w:szCs w:val="18"/>
              </w:rPr>
              <w:t>15.5</w:t>
            </w:r>
          </w:p>
        </w:tc>
      </w:tr>
      <w:tr w:rsidR="005C6E42" w:rsidRPr="00EF6BAF" w14:paraId="2B918AFC" w14:textId="77777777" w:rsidTr="005C6E42">
        <w:trPr>
          <w:trHeight w:val="288"/>
          <w:jc w:val="center"/>
        </w:trPr>
        <w:tc>
          <w:tcPr>
            <w:tcW w:w="1795" w:type="dxa"/>
            <w:vAlign w:val="center"/>
          </w:tcPr>
          <w:p w14:paraId="437D1AF8" w14:textId="10240417" w:rsidR="005C6E42" w:rsidRPr="00EF6BAF" w:rsidRDefault="005C6E42" w:rsidP="005C6E42">
            <w:pPr>
              <w:jc w:val="center"/>
              <w:rPr>
                <w:rFonts w:ascii="Arial" w:hAnsi="Arial" w:cs="Arial"/>
                <w:sz w:val="18"/>
                <w:szCs w:val="18"/>
              </w:rPr>
            </w:pPr>
            <w:r w:rsidRPr="00EF6BAF">
              <w:rPr>
                <w:rFonts w:ascii="Arial" w:hAnsi="Arial" w:cs="Arial"/>
                <w:color w:val="000000"/>
                <w:sz w:val="18"/>
                <w:szCs w:val="18"/>
              </w:rPr>
              <w:t>1.08 ≤ B &lt; 2.16</w:t>
            </w:r>
          </w:p>
        </w:tc>
        <w:tc>
          <w:tcPr>
            <w:tcW w:w="1440" w:type="dxa"/>
            <w:vAlign w:val="center"/>
          </w:tcPr>
          <w:p w14:paraId="3180739C" w14:textId="3A065EF4" w:rsidR="005C6E42" w:rsidRPr="00EF6BAF" w:rsidRDefault="005C6E42" w:rsidP="005C6E42">
            <w:pPr>
              <w:jc w:val="center"/>
              <w:rPr>
                <w:rFonts w:ascii="Arial" w:hAnsi="Arial" w:cs="Arial"/>
                <w:sz w:val="18"/>
                <w:szCs w:val="18"/>
              </w:rPr>
            </w:pPr>
            <w:r w:rsidRPr="00EF6BAF">
              <w:rPr>
                <w:rFonts w:ascii="Arial" w:hAnsi="Arial" w:cs="Arial"/>
                <w:sz w:val="18"/>
                <w:szCs w:val="18"/>
              </w:rPr>
              <w:t>14.5</w:t>
            </w:r>
          </w:p>
        </w:tc>
        <w:tc>
          <w:tcPr>
            <w:tcW w:w="1800" w:type="dxa"/>
            <w:vAlign w:val="center"/>
          </w:tcPr>
          <w:p w14:paraId="27E00782" w14:textId="221999B0" w:rsidR="005C6E42" w:rsidRPr="005C6E42" w:rsidRDefault="005C6E42" w:rsidP="005C6E42">
            <w:pPr>
              <w:jc w:val="center"/>
              <w:rPr>
                <w:rFonts w:ascii="Arial" w:hAnsi="Arial" w:cs="Arial"/>
                <w:sz w:val="18"/>
                <w:szCs w:val="18"/>
              </w:rPr>
            </w:pPr>
            <w:r w:rsidRPr="005C6E42">
              <w:rPr>
                <w:rFonts w:ascii="Arial" w:hAnsi="Arial" w:cs="Arial"/>
                <w:sz w:val="18"/>
                <w:szCs w:val="18"/>
              </w:rPr>
              <w:t>1.44 ≤ B &lt; 2.88</w:t>
            </w:r>
          </w:p>
        </w:tc>
        <w:tc>
          <w:tcPr>
            <w:tcW w:w="1440" w:type="dxa"/>
            <w:vAlign w:val="center"/>
          </w:tcPr>
          <w:p w14:paraId="588CC5EA" w14:textId="27BD0B08" w:rsidR="005C6E42" w:rsidRPr="005C6E42" w:rsidRDefault="005C6E42" w:rsidP="005C6E42">
            <w:pPr>
              <w:jc w:val="center"/>
              <w:rPr>
                <w:rFonts w:ascii="Arial" w:hAnsi="Arial" w:cs="Arial"/>
                <w:sz w:val="18"/>
                <w:szCs w:val="18"/>
              </w:rPr>
            </w:pPr>
            <w:r w:rsidRPr="005C6E42">
              <w:rPr>
                <w:rFonts w:ascii="Arial" w:hAnsi="Arial" w:cs="Arial"/>
                <w:sz w:val="18"/>
                <w:szCs w:val="18"/>
              </w:rPr>
              <w:t>15.0</w:t>
            </w:r>
          </w:p>
        </w:tc>
      </w:tr>
      <w:tr w:rsidR="005C6E42" w:rsidRPr="00EF6BAF" w14:paraId="712DC3FF" w14:textId="77777777" w:rsidTr="005C6E42">
        <w:trPr>
          <w:trHeight w:val="288"/>
          <w:jc w:val="center"/>
        </w:trPr>
        <w:tc>
          <w:tcPr>
            <w:tcW w:w="1795" w:type="dxa"/>
            <w:vAlign w:val="center"/>
          </w:tcPr>
          <w:p w14:paraId="098DAB62" w14:textId="50BDAA04" w:rsidR="005C6E42" w:rsidRPr="00EF6BAF" w:rsidRDefault="005C6E42" w:rsidP="005C6E42">
            <w:pPr>
              <w:jc w:val="center"/>
              <w:rPr>
                <w:rFonts w:ascii="Arial" w:hAnsi="Arial" w:cs="Arial"/>
                <w:sz w:val="18"/>
                <w:szCs w:val="18"/>
              </w:rPr>
            </w:pPr>
            <w:r w:rsidRPr="00EF6BAF">
              <w:rPr>
                <w:rFonts w:ascii="Arial" w:hAnsi="Arial" w:cs="Arial"/>
                <w:color w:val="000000"/>
                <w:sz w:val="18"/>
                <w:szCs w:val="18"/>
              </w:rPr>
              <w:t>2.16 ≤ B &lt; 3.24</w:t>
            </w:r>
          </w:p>
        </w:tc>
        <w:tc>
          <w:tcPr>
            <w:tcW w:w="1440" w:type="dxa"/>
            <w:vAlign w:val="center"/>
          </w:tcPr>
          <w:p w14:paraId="1AF48D2B" w14:textId="21758491" w:rsidR="005C6E42" w:rsidRPr="00EF6BAF" w:rsidRDefault="005C6E42" w:rsidP="005C6E42">
            <w:pPr>
              <w:jc w:val="center"/>
              <w:rPr>
                <w:rFonts w:ascii="Arial" w:hAnsi="Arial" w:cs="Arial"/>
                <w:sz w:val="18"/>
                <w:szCs w:val="18"/>
              </w:rPr>
            </w:pPr>
            <w:r w:rsidRPr="00EF6BAF">
              <w:rPr>
                <w:rFonts w:ascii="Arial" w:hAnsi="Arial" w:cs="Arial"/>
                <w:sz w:val="18"/>
                <w:szCs w:val="18"/>
              </w:rPr>
              <w:t>13.5</w:t>
            </w:r>
          </w:p>
        </w:tc>
        <w:tc>
          <w:tcPr>
            <w:tcW w:w="1800" w:type="dxa"/>
            <w:vAlign w:val="center"/>
          </w:tcPr>
          <w:p w14:paraId="32D877CC" w14:textId="4B29B620" w:rsidR="005C6E42" w:rsidRPr="005C6E42" w:rsidRDefault="005C6E42" w:rsidP="005C6E42">
            <w:pPr>
              <w:jc w:val="center"/>
              <w:rPr>
                <w:rFonts w:ascii="Arial" w:hAnsi="Arial" w:cs="Arial"/>
                <w:sz w:val="18"/>
                <w:szCs w:val="18"/>
              </w:rPr>
            </w:pPr>
            <w:r w:rsidRPr="005C6E42">
              <w:rPr>
                <w:rFonts w:ascii="Arial" w:hAnsi="Arial" w:cs="Arial"/>
                <w:sz w:val="18"/>
                <w:szCs w:val="18"/>
              </w:rPr>
              <w:t>2.88 ≤ B &lt; 5.76</w:t>
            </w:r>
          </w:p>
        </w:tc>
        <w:tc>
          <w:tcPr>
            <w:tcW w:w="1440" w:type="dxa"/>
            <w:vAlign w:val="center"/>
          </w:tcPr>
          <w:p w14:paraId="3578AA65" w14:textId="1A5CF844" w:rsidR="005C6E42" w:rsidRPr="005C6E42" w:rsidRDefault="005C6E42" w:rsidP="005C6E42">
            <w:pPr>
              <w:jc w:val="center"/>
              <w:rPr>
                <w:rFonts w:ascii="Arial" w:hAnsi="Arial" w:cs="Arial"/>
                <w:sz w:val="18"/>
                <w:szCs w:val="18"/>
              </w:rPr>
            </w:pPr>
            <w:r w:rsidRPr="005C6E42">
              <w:rPr>
                <w:rFonts w:ascii="Arial" w:hAnsi="Arial" w:cs="Arial"/>
                <w:sz w:val="18"/>
                <w:szCs w:val="18"/>
              </w:rPr>
              <w:t>14.0</w:t>
            </w:r>
          </w:p>
        </w:tc>
      </w:tr>
      <w:tr w:rsidR="005C6E42" w:rsidRPr="00EF6BAF" w14:paraId="6D869D48" w14:textId="77777777" w:rsidTr="005C6E42">
        <w:trPr>
          <w:trHeight w:val="288"/>
          <w:jc w:val="center"/>
        </w:trPr>
        <w:tc>
          <w:tcPr>
            <w:tcW w:w="1795" w:type="dxa"/>
            <w:vAlign w:val="center"/>
          </w:tcPr>
          <w:p w14:paraId="03C50FA4" w14:textId="1730361F" w:rsidR="005C6E42" w:rsidRPr="00EF6BAF" w:rsidRDefault="005C6E42" w:rsidP="005C6E42">
            <w:pPr>
              <w:jc w:val="center"/>
              <w:rPr>
                <w:rFonts w:ascii="Arial" w:hAnsi="Arial" w:cs="Arial"/>
                <w:sz w:val="18"/>
                <w:szCs w:val="18"/>
              </w:rPr>
            </w:pPr>
            <w:r w:rsidRPr="00EF6BAF">
              <w:rPr>
                <w:rFonts w:ascii="Arial" w:hAnsi="Arial" w:cs="Arial"/>
                <w:color w:val="000000"/>
                <w:sz w:val="18"/>
                <w:szCs w:val="18"/>
              </w:rPr>
              <w:t>3.24 ≤ B &lt; 5.04</w:t>
            </w:r>
          </w:p>
        </w:tc>
        <w:tc>
          <w:tcPr>
            <w:tcW w:w="1440" w:type="dxa"/>
            <w:vAlign w:val="center"/>
          </w:tcPr>
          <w:p w14:paraId="39F5BFC0" w14:textId="346B84EB" w:rsidR="005C6E42" w:rsidRPr="00EF6BAF" w:rsidRDefault="005C6E42" w:rsidP="005C6E42">
            <w:pPr>
              <w:jc w:val="center"/>
              <w:rPr>
                <w:rFonts w:ascii="Arial" w:hAnsi="Arial" w:cs="Arial"/>
                <w:sz w:val="18"/>
                <w:szCs w:val="18"/>
              </w:rPr>
            </w:pPr>
            <w:r w:rsidRPr="00EF6BAF">
              <w:rPr>
                <w:rFonts w:ascii="Arial" w:hAnsi="Arial" w:cs="Arial"/>
                <w:sz w:val="18"/>
                <w:szCs w:val="18"/>
              </w:rPr>
              <w:t>12.5</w:t>
            </w:r>
          </w:p>
        </w:tc>
        <w:tc>
          <w:tcPr>
            <w:tcW w:w="1800" w:type="dxa"/>
            <w:vAlign w:val="center"/>
          </w:tcPr>
          <w:p w14:paraId="23C9F2EE" w14:textId="1A3CD004" w:rsidR="005C6E42" w:rsidRPr="005C6E42" w:rsidRDefault="005C6E42" w:rsidP="005C6E42">
            <w:pPr>
              <w:jc w:val="center"/>
              <w:rPr>
                <w:rFonts w:ascii="Arial" w:hAnsi="Arial" w:cs="Arial"/>
                <w:sz w:val="18"/>
                <w:szCs w:val="18"/>
              </w:rPr>
            </w:pPr>
            <w:r w:rsidRPr="005C6E42">
              <w:rPr>
                <w:rFonts w:ascii="Arial" w:hAnsi="Arial" w:cs="Arial"/>
                <w:sz w:val="18"/>
                <w:szCs w:val="18"/>
              </w:rPr>
              <w:t>5.76 ≤ B &lt; 10.8</w:t>
            </w:r>
          </w:p>
        </w:tc>
        <w:tc>
          <w:tcPr>
            <w:tcW w:w="1440" w:type="dxa"/>
            <w:vAlign w:val="center"/>
          </w:tcPr>
          <w:p w14:paraId="1579678F" w14:textId="7BAD11AE" w:rsidR="005C6E42" w:rsidRPr="005C6E42" w:rsidRDefault="005C6E42" w:rsidP="005C6E42">
            <w:pPr>
              <w:jc w:val="center"/>
              <w:rPr>
                <w:rFonts w:ascii="Arial" w:hAnsi="Arial" w:cs="Arial"/>
                <w:sz w:val="18"/>
                <w:szCs w:val="18"/>
              </w:rPr>
            </w:pPr>
            <w:r w:rsidRPr="005C6E42">
              <w:rPr>
                <w:rFonts w:ascii="Arial" w:hAnsi="Arial" w:cs="Arial"/>
                <w:sz w:val="18"/>
                <w:szCs w:val="18"/>
              </w:rPr>
              <w:t>12.0</w:t>
            </w:r>
          </w:p>
        </w:tc>
      </w:tr>
      <w:tr w:rsidR="005C6E42" w:rsidRPr="00EF6BAF" w14:paraId="5654DFCF" w14:textId="77777777" w:rsidTr="005C6E42">
        <w:trPr>
          <w:trHeight w:val="288"/>
          <w:jc w:val="center"/>
        </w:trPr>
        <w:tc>
          <w:tcPr>
            <w:tcW w:w="1795" w:type="dxa"/>
            <w:vAlign w:val="center"/>
          </w:tcPr>
          <w:p w14:paraId="604CC62B" w14:textId="2F98EE7F" w:rsidR="005C6E42" w:rsidRPr="00EF6BAF" w:rsidRDefault="005C6E42" w:rsidP="005C6E42">
            <w:pPr>
              <w:jc w:val="center"/>
              <w:rPr>
                <w:rFonts w:ascii="Arial" w:hAnsi="Arial" w:cs="Arial"/>
                <w:sz w:val="18"/>
                <w:szCs w:val="18"/>
              </w:rPr>
            </w:pPr>
            <w:r w:rsidRPr="00EF6BAF">
              <w:rPr>
                <w:rFonts w:ascii="Arial" w:hAnsi="Arial" w:cs="Arial"/>
                <w:color w:val="000000"/>
                <w:sz w:val="18"/>
                <w:szCs w:val="18"/>
              </w:rPr>
              <w:t>5.04≤ B &lt; 10.08</w:t>
            </w:r>
          </w:p>
        </w:tc>
        <w:tc>
          <w:tcPr>
            <w:tcW w:w="1440" w:type="dxa"/>
            <w:vAlign w:val="center"/>
          </w:tcPr>
          <w:p w14:paraId="7C5B58ED" w14:textId="1BD707D6" w:rsidR="005C6E42" w:rsidRPr="00EF6BAF" w:rsidRDefault="005C6E42" w:rsidP="005C6E42">
            <w:pPr>
              <w:jc w:val="center"/>
              <w:rPr>
                <w:rFonts w:ascii="Arial" w:hAnsi="Arial" w:cs="Arial"/>
                <w:sz w:val="18"/>
                <w:szCs w:val="18"/>
              </w:rPr>
            </w:pPr>
            <w:r w:rsidRPr="00EF6BAF">
              <w:rPr>
                <w:rFonts w:ascii="Arial" w:hAnsi="Arial" w:cs="Arial"/>
                <w:sz w:val="18"/>
                <w:szCs w:val="18"/>
              </w:rPr>
              <w:t>11.5</w:t>
            </w:r>
          </w:p>
        </w:tc>
        <w:tc>
          <w:tcPr>
            <w:tcW w:w="1800" w:type="dxa"/>
            <w:vAlign w:val="center"/>
          </w:tcPr>
          <w:p w14:paraId="576F7F39" w14:textId="2A04F848" w:rsidR="005C6E42" w:rsidRPr="005C6E42" w:rsidRDefault="005C6E42" w:rsidP="005C6E42">
            <w:pPr>
              <w:jc w:val="center"/>
              <w:rPr>
                <w:rFonts w:ascii="Arial" w:hAnsi="Arial" w:cs="Arial"/>
                <w:sz w:val="18"/>
                <w:szCs w:val="18"/>
              </w:rPr>
            </w:pPr>
            <w:r w:rsidRPr="005C6E42">
              <w:rPr>
                <w:rFonts w:ascii="Arial" w:hAnsi="Arial" w:cs="Arial"/>
                <w:sz w:val="18"/>
                <w:szCs w:val="18"/>
              </w:rPr>
              <w:t>10.8 ≤ B &lt; 23.04</w:t>
            </w:r>
          </w:p>
        </w:tc>
        <w:tc>
          <w:tcPr>
            <w:tcW w:w="1440" w:type="dxa"/>
            <w:vAlign w:val="center"/>
          </w:tcPr>
          <w:p w14:paraId="6B7082C0" w14:textId="398C3D44" w:rsidR="005C6E42" w:rsidRPr="005C6E42" w:rsidRDefault="005C6E42" w:rsidP="005C6E42">
            <w:pPr>
              <w:jc w:val="center"/>
              <w:rPr>
                <w:rFonts w:ascii="Arial" w:hAnsi="Arial" w:cs="Arial"/>
                <w:sz w:val="18"/>
                <w:szCs w:val="18"/>
              </w:rPr>
            </w:pPr>
            <w:r w:rsidRPr="005C6E42">
              <w:rPr>
                <w:rFonts w:ascii="Arial" w:hAnsi="Arial" w:cs="Arial"/>
                <w:sz w:val="18"/>
                <w:szCs w:val="18"/>
              </w:rPr>
              <w:t>10.5</w:t>
            </w:r>
          </w:p>
        </w:tc>
      </w:tr>
      <w:tr w:rsidR="005C6E42" w:rsidRPr="00EF6BAF" w14:paraId="5BBFA9C5" w14:textId="77777777" w:rsidTr="005C6E42">
        <w:trPr>
          <w:trHeight w:val="288"/>
          <w:jc w:val="center"/>
        </w:trPr>
        <w:tc>
          <w:tcPr>
            <w:tcW w:w="1795" w:type="dxa"/>
            <w:vAlign w:val="center"/>
          </w:tcPr>
          <w:p w14:paraId="111ADCF2" w14:textId="1902508F" w:rsidR="005C6E42" w:rsidRPr="00EF6BAF" w:rsidRDefault="005C6E42" w:rsidP="005C6E42">
            <w:pPr>
              <w:jc w:val="center"/>
              <w:rPr>
                <w:rFonts w:ascii="Arial" w:hAnsi="Arial" w:cs="Arial"/>
                <w:sz w:val="18"/>
                <w:szCs w:val="18"/>
              </w:rPr>
            </w:pPr>
            <w:r w:rsidRPr="00EF6BAF">
              <w:rPr>
                <w:rFonts w:ascii="Arial" w:hAnsi="Arial" w:cs="Arial"/>
                <w:color w:val="000000"/>
                <w:sz w:val="18"/>
                <w:szCs w:val="18"/>
              </w:rPr>
              <w:t>10.08 ≤ B &lt; 16.38</w:t>
            </w:r>
          </w:p>
        </w:tc>
        <w:tc>
          <w:tcPr>
            <w:tcW w:w="1440" w:type="dxa"/>
            <w:vAlign w:val="center"/>
          </w:tcPr>
          <w:p w14:paraId="4E9AF419" w14:textId="235455C4" w:rsidR="005C6E42" w:rsidRPr="00EF6BAF" w:rsidRDefault="005C6E42" w:rsidP="005C6E42">
            <w:pPr>
              <w:jc w:val="center"/>
              <w:rPr>
                <w:rFonts w:ascii="Arial" w:hAnsi="Arial" w:cs="Arial"/>
                <w:sz w:val="18"/>
                <w:szCs w:val="18"/>
              </w:rPr>
            </w:pPr>
            <w:r w:rsidRPr="00EF6BAF">
              <w:rPr>
                <w:rFonts w:ascii="Arial" w:hAnsi="Arial" w:cs="Arial"/>
                <w:sz w:val="18"/>
                <w:szCs w:val="18"/>
              </w:rPr>
              <w:t>10.5</w:t>
            </w:r>
          </w:p>
        </w:tc>
        <w:tc>
          <w:tcPr>
            <w:tcW w:w="1800" w:type="dxa"/>
            <w:vAlign w:val="center"/>
          </w:tcPr>
          <w:p w14:paraId="29934829" w14:textId="1BB598EE" w:rsidR="005C6E42" w:rsidRPr="005C6E42" w:rsidRDefault="005C6E42" w:rsidP="005C6E42">
            <w:pPr>
              <w:jc w:val="center"/>
              <w:rPr>
                <w:rFonts w:ascii="Arial" w:hAnsi="Arial" w:cs="Arial"/>
                <w:sz w:val="18"/>
                <w:szCs w:val="18"/>
              </w:rPr>
            </w:pPr>
            <w:r w:rsidRPr="005C6E42">
              <w:rPr>
                <w:rFonts w:ascii="Arial" w:hAnsi="Arial" w:cs="Arial"/>
                <w:sz w:val="18"/>
                <w:szCs w:val="18"/>
              </w:rPr>
              <w:t>23.04 ≤ B</w:t>
            </w:r>
          </w:p>
        </w:tc>
        <w:tc>
          <w:tcPr>
            <w:tcW w:w="1440" w:type="dxa"/>
            <w:vAlign w:val="center"/>
          </w:tcPr>
          <w:p w14:paraId="12442803" w14:textId="541739AF" w:rsidR="005C6E42" w:rsidRPr="005C6E42" w:rsidRDefault="005C6E42" w:rsidP="005C6E42">
            <w:pPr>
              <w:jc w:val="center"/>
              <w:rPr>
                <w:rFonts w:ascii="Arial" w:hAnsi="Arial" w:cs="Arial"/>
                <w:sz w:val="18"/>
                <w:szCs w:val="18"/>
              </w:rPr>
            </w:pPr>
            <w:r w:rsidRPr="005C6E42">
              <w:rPr>
                <w:rFonts w:ascii="Arial" w:hAnsi="Arial" w:cs="Arial"/>
                <w:sz w:val="18"/>
                <w:szCs w:val="18"/>
              </w:rPr>
              <w:t>9.0</w:t>
            </w:r>
          </w:p>
        </w:tc>
      </w:tr>
      <w:tr w:rsidR="00EF6BAF" w:rsidRPr="00EF6BAF" w14:paraId="7000533A" w14:textId="77777777" w:rsidTr="005C6E42">
        <w:trPr>
          <w:trHeight w:val="288"/>
          <w:jc w:val="center"/>
        </w:trPr>
        <w:tc>
          <w:tcPr>
            <w:tcW w:w="1795" w:type="dxa"/>
            <w:vAlign w:val="center"/>
          </w:tcPr>
          <w:p w14:paraId="62E0CA9F" w14:textId="08D9504D" w:rsidR="00EF6BAF" w:rsidRPr="00EF6BAF" w:rsidRDefault="00EF6BAF" w:rsidP="00EF6BAF">
            <w:pPr>
              <w:jc w:val="center"/>
              <w:rPr>
                <w:rFonts w:ascii="Arial" w:hAnsi="Arial" w:cs="Arial"/>
                <w:sz w:val="18"/>
                <w:szCs w:val="18"/>
              </w:rPr>
            </w:pPr>
            <w:r w:rsidRPr="00EF6BAF">
              <w:rPr>
                <w:rFonts w:ascii="Arial" w:hAnsi="Arial" w:cs="Arial"/>
                <w:color w:val="000000"/>
                <w:sz w:val="18"/>
                <w:szCs w:val="18"/>
              </w:rPr>
              <w:t>16.38 ≤ B &lt; 21.78</w:t>
            </w:r>
          </w:p>
        </w:tc>
        <w:tc>
          <w:tcPr>
            <w:tcW w:w="1440" w:type="dxa"/>
            <w:vAlign w:val="center"/>
          </w:tcPr>
          <w:p w14:paraId="64CA30B8" w14:textId="756AFC71" w:rsidR="00EF6BAF" w:rsidRPr="00EF6BAF" w:rsidRDefault="00EF6BAF" w:rsidP="00EF6BAF">
            <w:pPr>
              <w:jc w:val="center"/>
              <w:rPr>
                <w:rFonts w:ascii="Arial" w:hAnsi="Arial" w:cs="Arial"/>
                <w:sz w:val="18"/>
                <w:szCs w:val="18"/>
              </w:rPr>
            </w:pPr>
            <w:r w:rsidRPr="00EF6BAF">
              <w:rPr>
                <w:rFonts w:ascii="Arial" w:hAnsi="Arial" w:cs="Arial"/>
                <w:sz w:val="18"/>
                <w:szCs w:val="18"/>
              </w:rPr>
              <w:t>10.0</w:t>
            </w:r>
          </w:p>
        </w:tc>
        <w:tc>
          <w:tcPr>
            <w:tcW w:w="1800" w:type="dxa"/>
            <w:vAlign w:val="center"/>
          </w:tcPr>
          <w:p w14:paraId="3BBBDF75" w14:textId="77777777" w:rsidR="00EF6BAF" w:rsidRPr="00EF6BAF" w:rsidRDefault="00EF6BAF" w:rsidP="00EF6BAF">
            <w:pPr>
              <w:jc w:val="center"/>
              <w:rPr>
                <w:rFonts w:ascii="Arial" w:hAnsi="Arial" w:cs="Arial"/>
                <w:sz w:val="18"/>
                <w:szCs w:val="18"/>
              </w:rPr>
            </w:pPr>
          </w:p>
        </w:tc>
        <w:tc>
          <w:tcPr>
            <w:tcW w:w="1440" w:type="dxa"/>
            <w:vAlign w:val="center"/>
          </w:tcPr>
          <w:p w14:paraId="31785276" w14:textId="77777777" w:rsidR="00EF6BAF" w:rsidRPr="00EF6BAF" w:rsidRDefault="00EF6BAF" w:rsidP="00EF6BAF">
            <w:pPr>
              <w:jc w:val="center"/>
              <w:rPr>
                <w:rFonts w:ascii="Arial" w:hAnsi="Arial" w:cs="Arial"/>
                <w:sz w:val="18"/>
                <w:szCs w:val="18"/>
              </w:rPr>
            </w:pPr>
          </w:p>
        </w:tc>
      </w:tr>
      <w:tr w:rsidR="00EF6BAF" w:rsidRPr="00EF6BAF" w14:paraId="7483971E" w14:textId="77777777" w:rsidTr="00EF6BAF">
        <w:trPr>
          <w:trHeight w:val="288"/>
          <w:jc w:val="center"/>
        </w:trPr>
        <w:tc>
          <w:tcPr>
            <w:tcW w:w="1795" w:type="dxa"/>
            <w:vAlign w:val="center"/>
          </w:tcPr>
          <w:p w14:paraId="5785DA85" w14:textId="13EA3EFE" w:rsidR="00EF6BAF" w:rsidRPr="00EF6BAF" w:rsidRDefault="00EF6BAF" w:rsidP="00EF6BAF">
            <w:pPr>
              <w:jc w:val="center"/>
              <w:rPr>
                <w:rFonts w:ascii="Arial" w:hAnsi="Arial" w:cs="Arial"/>
                <w:sz w:val="18"/>
                <w:szCs w:val="18"/>
              </w:rPr>
            </w:pPr>
            <w:r w:rsidRPr="00EF6BAF">
              <w:rPr>
                <w:rFonts w:ascii="Arial" w:hAnsi="Arial" w:cs="Arial"/>
                <w:color w:val="000000"/>
                <w:sz w:val="18"/>
                <w:szCs w:val="18"/>
              </w:rPr>
              <w:t>21.78 ≤ B</w:t>
            </w:r>
          </w:p>
        </w:tc>
        <w:tc>
          <w:tcPr>
            <w:tcW w:w="1440" w:type="dxa"/>
            <w:vAlign w:val="center"/>
          </w:tcPr>
          <w:p w14:paraId="451D034C" w14:textId="24637CC1" w:rsidR="00EF6BAF" w:rsidRPr="00EF6BAF" w:rsidRDefault="00EF6BAF" w:rsidP="00EF6BAF">
            <w:pPr>
              <w:jc w:val="center"/>
              <w:rPr>
                <w:rFonts w:ascii="Arial" w:hAnsi="Arial" w:cs="Arial"/>
                <w:sz w:val="18"/>
                <w:szCs w:val="18"/>
              </w:rPr>
            </w:pPr>
            <w:r w:rsidRPr="00EF6BAF">
              <w:rPr>
                <w:rFonts w:ascii="Arial" w:hAnsi="Arial" w:cs="Arial"/>
                <w:sz w:val="18"/>
                <w:szCs w:val="18"/>
              </w:rPr>
              <w:t>9.0</w:t>
            </w:r>
          </w:p>
        </w:tc>
        <w:tc>
          <w:tcPr>
            <w:tcW w:w="1800" w:type="dxa"/>
            <w:vAlign w:val="center"/>
          </w:tcPr>
          <w:p w14:paraId="0514526E" w14:textId="77777777" w:rsidR="00EF6BAF" w:rsidRPr="00EF6BAF" w:rsidRDefault="00EF6BAF" w:rsidP="00EF6BAF">
            <w:pPr>
              <w:jc w:val="center"/>
              <w:rPr>
                <w:rFonts w:ascii="Arial" w:hAnsi="Arial" w:cs="Arial"/>
                <w:sz w:val="18"/>
                <w:szCs w:val="18"/>
              </w:rPr>
            </w:pPr>
          </w:p>
        </w:tc>
        <w:tc>
          <w:tcPr>
            <w:tcW w:w="1440" w:type="dxa"/>
            <w:vAlign w:val="center"/>
          </w:tcPr>
          <w:p w14:paraId="77AAF4F0" w14:textId="77777777" w:rsidR="00EF6BAF" w:rsidRPr="00EF6BAF" w:rsidRDefault="00EF6BAF" w:rsidP="00EF6BAF">
            <w:pPr>
              <w:jc w:val="center"/>
              <w:rPr>
                <w:rFonts w:ascii="Arial" w:hAnsi="Arial" w:cs="Arial"/>
                <w:sz w:val="18"/>
                <w:szCs w:val="18"/>
              </w:rPr>
            </w:pPr>
          </w:p>
        </w:tc>
      </w:tr>
      <w:tr w:rsidR="005C6E42" w:rsidRPr="00EF6BAF" w14:paraId="4357C3BF" w14:textId="77777777" w:rsidTr="00B04447">
        <w:trPr>
          <w:trHeight w:val="288"/>
          <w:jc w:val="center"/>
        </w:trPr>
        <w:tc>
          <w:tcPr>
            <w:tcW w:w="6475" w:type="dxa"/>
            <w:gridSpan w:val="4"/>
            <w:vAlign w:val="center"/>
          </w:tcPr>
          <w:p w14:paraId="2CDD5D79" w14:textId="27240932" w:rsidR="005C6E42" w:rsidRPr="00EF6BAF" w:rsidRDefault="005C6E42" w:rsidP="00144D7A">
            <w:pPr>
              <w:jc w:val="both"/>
              <w:rPr>
                <w:rFonts w:ascii="Arial" w:hAnsi="Arial" w:cs="Arial"/>
                <w:sz w:val="18"/>
                <w:szCs w:val="18"/>
              </w:rPr>
            </w:pPr>
            <w:r>
              <w:rPr>
                <w:rFonts w:ascii="Arial" w:hAnsi="Arial" w:cs="Arial"/>
                <w:sz w:val="18"/>
                <w:szCs w:val="18"/>
              </w:rPr>
              <w:t xml:space="preserve">NOTE: </w:t>
            </w:r>
            <w:r w:rsidRPr="005C6E42">
              <w:rPr>
                <w:rFonts w:ascii="Arial" w:hAnsi="Arial" w:cs="Arial"/>
                <w:sz w:val="18"/>
                <w:szCs w:val="18"/>
              </w:rPr>
              <w:t>B is the effective aggregated bandwidth in MHz</w:t>
            </w:r>
          </w:p>
        </w:tc>
      </w:tr>
    </w:tbl>
    <w:p w14:paraId="5D9929A9" w14:textId="77777777" w:rsidR="00EF6BAF" w:rsidRDefault="00EF6BAF" w:rsidP="00144D7A">
      <w:pPr>
        <w:jc w:val="both"/>
        <w:rPr>
          <w:rFonts w:ascii="Arial" w:hAnsi="Arial" w:cs="Arial"/>
          <w:sz w:val="20"/>
          <w:szCs w:val="20"/>
        </w:rPr>
      </w:pPr>
    </w:p>
    <w:p w14:paraId="0ED936B3" w14:textId="7F860C87" w:rsidR="00EF6BAF" w:rsidRDefault="005C6E42" w:rsidP="005C6E42">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w:t>
      </w:r>
      <w:r>
        <w:rPr>
          <w:rFonts w:ascii="Arial" w:hAnsi="Arial" w:cs="Arial"/>
          <w:b/>
          <w:bCs/>
          <w:sz w:val="20"/>
          <w:szCs w:val="20"/>
        </w:rPr>
        <w:t>2.2-1 Intra-band NC UL CA MPR requirements with dualPA for -30dBm/MHz spurious emission</w:t>
      </w:r>
    </w:p>
    <w:p w14:paraId="28C2F844" w14:textId="77777777" w:rsidR="00EF6BAF" w:rsidRDefault="00EF6BAF" w:rsidP="00144D7A">
      <w:pPr>
        <w:jc w:val="both"/>
        <w:rPr>
          <w:rFonts w:ascii="Arial" w:hAnsi="Arial" w:cs="Arial"/>
          <w:sz w:val="20"/>
          <w:szCs w:val="20"/>
        </w:rPr>
      </w:pPr>
    </w:p>
    <w:p w14:paraId="6E11F422" w14:textId="1B9204E0" w:rsidR="005C6E42" w:rsidRDefault="005C6E42" w:rsidP="00926CD9">
      <w:pPr>
        <w:spacing w:after="120"/>
        <w:jc w:val="both"/>
        <w:rPr>
          <w:rFonts w:ascii="Arial" w:hAnsi="Arial" w:cs="Arial"/>
          <w:sz w:val="20"/>
          <w:szCs w:val="20"/>
        </w:rPr>
      </w:pPr>
      <w:r>
        <w:rPr>
          <w:rFonts w:ascii="Arial" w:hAnsi="Arial" w:cs="Arial"/>
          <w:sz w:val="20"/>
          <w:szCs w:val="20"/>
        </w:rPr>
        <w:t xml:space="preserve">PC1.5 intra-band </w:t>
      </w:r>
      <w:r w:rsidR="00B15488">
        <w:rPr>
          <w:rFonts w:ascii="Arial" w:hAnsi="Arial" w:cs="Arial"/>
          <w:sz w:val="20"/>
          <w:szCs w:val="20"/>
        </w:rPr>
        <w:t xml:space="preserve">non-contiguous UL CA likely </w:t>
      </w:r>
      <w:r w:rsidR="00B15488" w:rsidRPr="00B15488">
        <w:rPr>
          <w:rFonts w:ascii="Arial" w:hAnsi="Arial" w:cs="Arial"/>
          <w:sz w:val="20"/>
          <w:szCs w:val="20"/>
        </w:rPr>
        <w:t xml:space="preserve">would be subject to further higher MPR </w:t>
      </w:r>
      <w:r w:rsidR="00473C1A">
        <w:rPr>
          <w:rFonts w:ascii="Arial" w:hAnsi="Arial" w:cs="Arial"/>
          <w:sz w:val="20"/>
          <w:szCs w:val="20"/>
        </w:rPr>
        <w:t xml:space="preserve">as </w:t>
      </w:r>
      <w:r w:rsidR="00B15488" w:rsidRPr="00B15488">
        <w:rPr>
          <w:rFonts w:ascii="Arial" w:hAnsi="Arial" w:cs="Arial"/>
          <w:sz w:val="20"/>
          <w:szCs w:val="20"/>
        </w:rPr>
        <w:t xml:space="preserve">compared to PC2 and PC3 </w:t>
      </w:r>
      <w:r w:rsidR="00473C1A">
        <w:rPr>
          <w:rFonts w:ascii="Arial" w:hAnsi="Arial" w:cs="Arial"/>
          <w:sz w:val="20"/>
          <w:szCs w:val="20"/>
        </w:rPr>
        <w:t>since</w:t>
      </w:r>
      <w:r w:rsidR="00B15488" w:rsidRPr="00B15488">
        <w:rPr>
          <w:rFonts w:ascii="Arial" w:hAnsi="Arial" w:cs="Arial"/>
          <w:sz w:val="20"/>
          <w:szCs w:val="20"/>
        </w:rPr>
        <w:t xml:space="preserve"> both half-rated PAs are operating at </w:t>
      </w:r>
      <w:r w:rsidR="00473C1A">
        <w:rPr>
          <w:rFonts w:ascii="Arial" w:hAnsi="Arial" w:cs="Arial"/>
          <w:sz w:val="20"/>
          <w:szCs w:val="20"/>
        </w:rPr>
        <w:t>maximum</w:t>
      </w:r>
      <w:r w:rsidR="00B15488" w:rsidRPr="00B15488">
        <w:rPr>
          <w:rFonts w:ascii="Arial" w:hAnsi="Arial" w:cs="Arial"/>
          <w:sz w:val="20"/>
          <w:szCs w:val="20"/>
        </w:rPr>
        <w:t xml:space="preserve"> power where linearity is expected to be worse than PC2 and PC3</w:t>
      </w:r>
      <w:r w:rsidR="00B15488">
        <w:rPr>
          <w:rFonts w:ascii="Arial" w:hAnsi="Arial" w:cs="Arial"/>
          <w:sz w:val="20"/>
          <w:szCs w:val="20"/>
        </w:rPr>
        <w:t>. As a result, supporting PC1.5 could be a diminishing return as there may not be any performance gain over PC2 or even PC3</w:t>
      </w:r>
      <w:r w:rsidR="00926CD9">
        <w:rPr>
          <w:rFonts w:ascii="Arial" w:hAnsi="Arial" w:cs="Arial"/>
          <w:sz w:val="20"/>
          <w:szCs w:val="20"/>
        </w:rPr>
        <w:t xml:space="preserve"> and the onerous efforts to specify the requirements may not be well justified.</w:t>
      </w:r>
      <w:r w:rsidR="0012595B">
        <w:rPr>
          <w:rFonts w:ascii="Arial" w:hAnsi="Arial" w:cs="Arial"/>
          <w:sz w:val="20"/>
          <w:szCs w:val="20"/>
        </w:rPr>
        <w:t xml:space="preserve"> Alternatively, </w:t>
      </w:r>
      <w:r w:rsidR="0012595B" w:rsidRPr="0012595B">
        <w:rPr>
          <w:rFonts w:ascii="Arial" w:hAnsi="Arial" w:cs="Arial"/>
          <w:sz w:val="20"/>
          <w:szCs w:val="20"/>
        </w:rPr>
        <w:t>if UL Tx switching can be supported for intra-band non-contiguous UL CA as proposed in [</w:t>
      </w:r>
      <w:r w:rsidR="0012595B">
        <w:rPr>
          <w:rFonts w:ascii="Arial" w:hAnsi="Arial" w:cs="Arial"/>
          <w:sz w:val="20"/>
          <w:szCs w:val="20"/>
        </w:rPr>
        <w:t>3</w:t>
      </w:r>
      <w:r w:rsidR="0012595B" w:rsidRPr="0012595B">
        <w:rPr>
          <w:rFonts w:ascii="Arial" w:hAnsi="Arial" w:cs="Arial"/>
          <w:sz w:val="20"/>
          <w:szCs w:val="20"/>
        </w:rPr>
        <w:t>], the use case limitation and MPR/A-MPR performance concern for simultaneous UL transmission can both be avoided, and yet without compromising the UL throughput performance as each switched UL carrier can leverage the 2 Tx paths to support UL MIMO up to PC1.5.</w:t>
      </w:r>
      <w:r w:rsidR="00926CD9">
        <w:rPr>
          <w:rFonts w:ascii="Arial" w:hAnsi="Arial" w:cs="Arial"/>
          <w:sz w:val="20"/>
          <w:szCs w:val="20"/>
        </w:rPr>
        <w:t xml:space="preserve">  </w:t>
      </w:r>
    </w:p>
    <w:p w14:paraId="58B54E70" w14:textId="77777777" w:rsidR="005C6E42" w:rsidRDefault="005C6E42" w:rsidP="00144D7A">
      <w:pPr>
        <w:jc w:val="both"/>
        <w:rPr>
          <w:rFonts w:ascii="Arial" w:hAnsi="Arial" w:cs="Arial"/>
          <w:sz w:val="20"/>
          <w:szCs w:val="20"/>
        </w:rPr>
      </w:pPr>
    </w:p>
    <w:p w14:paraId="1DB6C24C" w14:textId="0126969F" w:rsidR="008979DE" w:rsidRDefault="00144D7A" w:rsidP="005E71D6">
      <w:pPr>
        <w:spacing w:after="120"/>
        <w:jc w:val="both"/>
        <w:rPr>
          <w:rFonts w:ascii="Arial" w:hAnsi="Arial" w:cs="Arial"/>
          <w:sz w:val="20"/>
          <w:szCs w:val="20"/>
        </w:rPr>
      </w:pPr>
      <w:r w:rsidRPr="00CE1748">
        <w:rPr>
          <w:rFonts w:ascii="Arial" w:hAnsi="Arial" w:cs="Arial"/>
          <w:b/>
          <w:i/>
          <w:iCs/>
          <w:sz w:val="20"/>
          <w:szCs w:val="20"/>
        </w:rPr>
        <w:t>Observation</w:t>
      </w:r>
      <w:r>
        <w:rPr>
          <w:rFonts w:ascii="Arial" w:hAnsi="Arial" w:cs="Arial"/>
          <w:b/>
          <w:i/>
          <w:iCs/>
          <w:sz w:val="20"/>
          <w:szCs w:val="20"/>
        </w:rPr>
        <w:t xml:space="preserve"> 12</w:t>
      </w:r>
      <w:r w:rsidRPr="00CE1748">
        <w:rPr>
          <w:rFonts w:ascii="Arial" w:hAnsi="Arial" w:cs="Arial"/>
          <w:bCs/>
          <w:i/>
          <w:iCs/>
          <w:sz w:val="20"/>
          <w:szCs w:val="20"/>
        </w:rPr>
        <w:t xml:space="preserve">: </w:t>
      </w:r>
      <w:r w:rsidR="0012595B">
        <w:rPr>
          <w:rFonts w:ascii="Arial" w:hAnsi="Arial" w:cs="Arial"/>
          <w:bCs/>
          <w:i/>
          <w:iCs/>
          <w:sz w:val="20"/>
          <w:szCs w:val="20"/>
        </w:rPr>
        <w:t>S</w:t>
      </w:r>
      <w:r w:rsidR="0012595B" w:rsidRPr="0012595B">
        <w:rPr>
          <w:rFonts w:ascii="Arial" w:hAnsi="Arial" w:cs="Arial"/>
          <w:bCs/>
          <w:i/>
          <w:iCs/>
          <w:sz w:val="20"/>
          <w:szCs w:val="20"/>
        </w:rPr>
        <w:t xml:space="preserve">upporting PC1.5 </w:t>
      </w:r>
      <w:r w:rsidR="0012595B">
        <w:rPr>
          <w:rFonts w:ascii="Arial" w:hAnsi="Arial" w:cs="Arial"/>
          <w:bCs/>
          <w:i/>
          <w:iCs/>
          <w:sz w:val="20"/>
          <w:szCs w:val="20"/>
        </w:rPr>
        <w:t xml:space="preserve">intra-band non-contiguous UL CA </w:t>
      </w:r>
      <w:r w:rsidR="0012595B" w:rsidRPr="0012595B">
        <w:rPr>
          <w:rFonts w:ascii="Arial" w:hAnsi="Arial" w:cs="Arial"/>
          <w:bCs/>
          <w:i/>
          <w:iCs/>
          <w:sz w:val="20"/>
          <w:szCs w:val="20"/>
        </w:rPr>
        <w:t>could be a diminishing return as there may not be any performance gain over PC2 or even PC3 and the onerous efforts to specify the requirements may not be well justified.</w:t>
      </w:r>
    </w:p>
    <w:p w14:paraId="06296836" w14:textId="77777777" w:rsidR="008979DE" w:rsidRDefault="008979DE" w:rsidP="008979DE">
      <w:pPr>
        <w:jc w:val="both"/>
        <w:rPr>
          <w:rFonts w:ascii="Arial" w:hAnsi="Arial" w:cs="Arial"/>
          <w:sz w:val="20"/>
          <w:szCs w:val="20"/>
        </w:rPr>
      </w:pPr>
    </w:p>
    <w:p w14:paraId="5109C038" w14:textId="337357CA" w:rsidR="008979DE" w:rsidRDefault="008979DE" w:rsidP="005E71D6">
      <w:pPr>
        <w:spacing w:after="120"/>
        <w:jc w:val="both"/>
        <w:rPr>
          <w:rFonts w:ascii="Arial" w:hAnsi="Arial" w:cs="Arial"/>
          <w:bCs/>
          <w:i/>
          <w:iCs/>
          <w:sz w:val="20"/>
          <w:szCs w:val="20"/>
        </w:rPr>
      </w:pPr>
      <w:r>
        <w:rPr>
          <w:rFonts w:ascii="Arial" w:hAnsi="Arial" w:cs="Arial"/>
          <w:b/>
          <w:i/>
          <w:iCs/>
          <w:sz w:val="20"/>
          <w:szCs w:val="20"/>
        </w:rPr>
        <w:t>Proposal 2</w:t>
      </w:r>
      <w:r w:rsidRPr="00CE1748">
        <w:rPr>
          <w:rFonts w:ascii="Arial" w:hAnsi="Arial" w:cs="Arial"/>
          <w:bCs/>
          <w:i/>
          <w:iCs/>
          <w:sz w:val="20"/>
          <w:szCs w:val="20"/>
        </w:rPr>
        <w:t xml:space="preserve">: </w:t>
      </w:r>
      <w:r w:rsidR="0012595B">
        <w:rPr>
          <w:rFonts w:ascii="Arial" w:hAnsi="Arial" w:cs="Arial"/>
          <w:bCs/>
          <w:i/>
          <w:iCs/>
          <w:sz w:val="20"/>
          <w:szCs w:val="20"/>
        </w:rPr>
        <w:t>I</w:t>
      </w:r>
      <w:r w:rsidR="0012595B" w:rsidRPr="0012595B">
        <w:rPr>
          <w:rFonts w:ascii="Arial" w:hAnsi="Arial" w:cs="Arial"/>
          <w:bCs/>
          <w:i/>
          <w:iCs/>
          <w:sz w:val="20"/>
          <w:szCs w:val="20"/>
        </w:rPr>
        <w:t xml:space="preserve">ntroduce UL Tx switching </w:t>
      </w:r>
      <w:r w:rsidR="0012595B">
        <w:rPr>
          <w:rFonts w:ascii="Arial" w:hAnsi="Arial" w:cs="Arial"/>
          <w:bCs/>
          <w:i/>
          <w:iCs/>
          <w:sz w:val="20"/>
          <w:szCs w:val="20"/>
        </w:rPr>
        <w:t>for</w:t>
      </w:r>
      <w:r w:rsidR="0012595B" w:rsidRPr="0012595B">
        <w:rPr>
          <w:rFonts w:ascii="Arial" w:hAnsi="Arial" w:cs="Arial"/>
          <w:bCs/>
          <w:i/>
          <w:iCs/>
          <w:sz w:val="20"/>
          <w:szCs w:val="20"/>
        </w:rPr>
        <w:t xml:space="preserve"> intra-band non-contiguous UL CA with UL MIMO </w:t>
      </w:r>
      <w:r w:rsidR="002B1932">
        <w:rPr>
          <w:rFonts w:ascii="Arial" w:hAnsi="Arial" w:cs="Arial"/>
          <w:bCs/>
          <w:i/>
          <w:iCs/>
          <w:sz w:val="20"/>
          <w:szCs w:val="20"/>
        </w:rPr>
        <w:t>as an enhanced feature to PC1.5 intra-band non-contiguous UL CA without UL MIMO.</w:t>
      </w:r>
    </w:p>
    <w:p w14:paraId="34C99636" w14:textId="3E7DFFF1" w:rsidR="008E7986" w:rsidRDefault="002504F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400F4FFC" w:rsidR="006D7B72" w:rsidRPr="00BA50B0" w:rsidRDefault="009F2575" w:rsidP="00C358C6">
      <w:pPr>
        <w:spacing w:after="120"/>
        <w:jc w:val="both"/>
        <w:rPr>
          <w:rFonts w:ascii="Arial" w:hAnsi="Arial" w:cs="Arial"/>
          <w:bCs/>
          <w:sz w:val="20"/>
          <w:szCs w:val="20"/>
        </w:rPr>
      </w:pPr>
      <w:r w:rsidRPr="009F2575">
        <w:rPr>
          <w:rFonts w:ascii="Arial" w:hAnsi="Arial" w:cs="Arial"/>
          <w:sz w:val="20"/>
          <w:szCs w:val="20"/>
        </w:rPr>
        <w:t>In this contribution, we share our views on PSD imbalance for PC1.5 intra-band UL CA MPR evaluations and propose that for contiguous UL CA, MPR requirements are only evaluated and specified based on equal PSD between the two carriers</w:t>
      </w:r>
      <w:r>
        <w:rPr>
          <w:rFonts w:ascii="Arial" w:hAnsi="Arial" w:cs="Arial"/>
          <w:sz w:val="20"/>
          <w:szCs w:val="20"/>
        </w:rPr>
        <w:t>.</w:t>
      </w:r>
    </w:p>
    <w:p w14:paraId="284501E7" w14:textId="77777777" w:rsidR="00DB0BC8" w:rsidRDefault="00DB0BC8" w:rsidP="00DB0BC8">
      <w:pPr>
        <w:jc w:val="both"/>
        <w:rPr>
          <w:rFonts w:ascii="Arial" w:hAnsi="Arial" w:cs="Arial"/>
          <w:sz w:val="20"/>
          <w:szCs w:val="20"/>
          <w:lang w:val="en-GB"/>
        </w:rPr>
      </w:pPr>
    </w:p>
    <w:p w14:paraId="2CF41495" w14:textId="77777777" w:rsidR="009F2575" w:rsidRPr="009C58C3" w:rsidRDefault="009F2575" w:rsidP="009F2575">
      <w:pPr>
        <w:spacing w:after="120"/>
        <w:jc w:val="both"/>
        <w:rPr>
          <w:rFonts w:ascii="Arial" w:hAnsi="Arial" w:cs="Arial"/>
          <w:bCs/>
          <w:i/>
          <w:iCs/>
          <w:sz w:val="20"/>
          <w:szCs w:val="20"/>
        </w:rPr>
      </w:pPr>
      <w:r w:rsidRPr="009C58C3">
        <w:rPr>
          <w:rFonts w:ascii="Arial" w:hAnsi="Arial" w:cs="Arial"/>
          <w:b/>
          <w:i/>
          <w:iCs/>
          <w:sz w:val="20"/>
          <w:szCs w:val="20"/>
        </w:rPr>
        <w:t>Observation 1</w:t>
      </w:r>
      <w:r w:rsidRPr="009C58C3">
        <w:rPr>
          <w:rFonts w:ascii="Arial" w:hAnsi="Arial" w:cs="Arial"/>
          <w:bCs/>
          <w:i/>
          <w:iCs/>
          <w:sz w:val="20"/>
          <w:szCs w:val="20"/>
        </w:rPr>
        <w:t>: For PC1.5 intra-band contiguous UL CA based on TxD architecture, provided the PSD is set equal in digital domain between the two carriers, there should be no unintentional PSD imbalance caused by any transceiver design impairment.</w:t>
      </w:r>
    </w:p>
    <w:p w14:paraId="2AC672DE" w14:textId="77777777" w:rsidR="009F2575" w:rsidRDefault="009F2575" w:rsidP="009F2575">
      <w:pPr>
        <w:jc w:val="both"/>
        <w:rPr>
          <w:rFonts w:ascii="Arial" w:hAnsi="Arial" w:cs="Arial"/>
          <w:bCs/>
          <w:sz w:val="20"/>
          <w:szCs w:val="20"/>
        </w:rPr>
      </w:pPr>
    </w:p>
    <w:p w14:paraId="1A318737" w14:textId="77777777" w:rsidR="009F2575" w:rsidRPr="009C58C3" w:rsidRDefault="009F2575" w:rsidP="009F2575">
      <w:pPr>
        <w:spacing w:after="120"/>
        <w:jc w:val="both"/>
        <w:rPr>
          <w:rFonts w:ascii="Arial" w:hAnsi="Arial" w:cs="Arial"/>
          <w:bCs/>
          <w:i/>
          <w:iCs/>
          <w:sz w:val="20"/>
          <w:szCs w:val="20"/>
        </w:rPr>
      </w:pPr>
      <w:r w:rsidRPr="009C58C3">
        <w:rPr>
          <w:rFonts w:ascii="Arial" w:hAnsi="Arial" w:cs="Arial"/>
          <w:b/>
          <w:i/>
          <w:iCs/>
          <w:sz w:val="20"/>
          <w:szCs w:val="20"/>
        </w:rPr>
        <w:t>Observation 2</w:t>
      </w:r>
      <w:r w:rsidRPr="009C58C3">
        <w:rPr>
          <w:rFonts w:ascii="Arial" w:hAnsi="Arial" w:cs="Arial"/>
          <w:bCs/>
          <w:i/>
          <w:iCs/>
          <w:sz w:val="20"/>
          <w:szCs w:val="20"/>
        </w:rPr>
        <w:t xml:space="preserve">: </w:t>
      </w:r>
      <w:r>
        <w:rPr>
          <w:rFonts w:ascii="Arial" w:hAnsi="Arial" w:cs="Arial"/>
          <w:bCs/>
          <w:i/>
          <w:iCs/>
          <w:sz w:val="20"/>
          <w:szCs w:val="20"/>
        </w:rPr>
        <w:t>C</w:t>
      </w:r>
      <w:r w:rsidRPr="009C58C3">
        <w:rPr>
          <w:rFonts w:ascii="Arial" w:hAnsi="Arial" w:cs="Arial"/>
          <w:bCs/>
          <w:i/>
          <w:iCs/>
          <w:sz w:val="20"/>
          <w:szCs w:val="20"/>
        </w:rPr>
        <w:t>ell collocation has always been assumed for intra-band contiguous CA.</w:t>
      </w:r>
    </w:p>
    <w:p w14:paraId="791D1747" w14:textId="77777777" w:rsidR="009F2575" w:rsidRDefault="009F2575" w:rsidP="009F2575">
      <w:pPr>
        <w:jc w:val="both"/>
        <w:rPr>
          <w:rFonts w:ascii="Arial" w:hAnsi="Arial" w:cs="Arial"/>
          <w:bCs/>
          <w:sz w:val="20"/>
          <w:szCs w:val="20"/>
        </w:rPr>
      </w:pPr>
    </w:p>
    <w:p w14:paraId="6C12F7E0" w14:textId="77777777" w:rsidR="009F2575" w:rsidRPr="009C58C3" w:rsidRDefault="009F2575" w:rsidP="009F2575">
      <w:pPr>
        <w:spacing w:after="120"/>
        <w:jc w:val="both"/>
        <w:rPr>
          <w:rFonts w:ascii="Arial" w:hAnsi="Arial" w:cs="Arial"/>
          <w:bCs/>
          <w:i/>
          <w:iCs/>
          <w:sz w:val="20"/>
          <w:szCs w:val="20"/>
        </w:rPr>
      </w:pPr>
      <w:r w:rsidRPr="009C58C3">
        <w:rPr>
          <w:rFonts w:ascii="Arial" w:hAnsi="Arial" w:cs="Arial"/>
          <w:b/>
          <w:i/>
          <w:iCs/>
          <w:sz w:val="20"/>
          <w:szCs w:val="20"/>
        </w:rPr>
        <w:t>Observation 3</w:t>
      </w:r>
      <w:r w:rsidRPr="009C58C3">
        <w:rPr>
          <w:rFonts w:ascii="Arial" w:hAnsi="Arial" w:cs="Arial"/>
          <w:bCs/>
          <w:i/>
          <w:iCs/>
          <w:sz w:val="20"/>
          <w:szCs w:val="20"/>
        </w:rPr>
        <w:t>: For intra-band contiguous UL CA, there would be no compelling reason to intentionally set unequal PSD between the two UL carriers as they would observe different SNR when reaching the gNB.</w:t>
      </w:r>
    </w:p>
    <w:p w14:paraId="2EBC3A99" w14:textId="77777777" w:rsidR="009F2575" w:rsidRDefault="009F2575" w:rsidP="009F2575">
      <w:pPr>
        <w:jc w:val="both"/>
        <w:rPr>
          <w:rFonts w:ascii="Arial" w:hAnsi="Arial" w:cs="Arial"/>
          <w:bCs/>
          <w:sz w:val="20"/>
          <w:szCs w:val="20"/>
        </w:rPr>
      </w:pPr>
    </w:p>
    <w:p w14:paraId="0620BA8E" w14:textId="77777777" w:rsidR="009F2575" w:rsidRPr="009C58C3" w:rsidRDefault="009F2575" w:rsidP="009F2575">
      <w:pPr>
        <w:spacing w:after="120"/>
        <w:jc w:val="both"/>
        <w:rPr>
          <w:rFonts w:ascii="Arial" w:hAnsi="Arial" w:cs="Arial"/>
          <w:bCs/>
          <w:i/>
          <w:iCs/>
          <w:sz w:val="20"/>
          <w:szCs w:val="20"/>
        </w:rPr>
      </w:pPr>
      <w:r w:rsidRPr="009C58C3">
        <w:rPr>
          <w:rFonts w:ascii="Arial" w:hAnsi="Arial" w:cs="Arial"/>
          <w:b/>
          <w:i/>
          <w:iCs/>
          <w:sz w:val="20"/>
          <w:szCs w:val="20"/>
        </w:rPr>
        <w:t>Observation 4</w:t>
      </w:r>
      <w:r w:rsidRPr="009C58C3">
        <w:rPr>
          <w:rFonts w:ascii="Arial" w:hAnsi="Arial" w:cs="Arial"/>
          <w:bCs/>
          <w:i/>
          <w:iCs/>
          <w:sz w:val="20"/>
          <w:szCs w:val="20"/>
        </w:rPr>
        <w:t>: The consideration of PSD imbalance up to 6dB could be a misconception inherited from the DL PSD imbalance assumption for intra-band contiguous DL CA which is meant to accommodate the unintentional RF gain mismatch or different channel properties between the two cells.</w:t>
      </w:r>
    </w:p>
    <w:p w14:paraId="30A18B31" w14:textId="77777777" w:rsidR="009F2575" w:rsidRDefault="009F2575" w:rsidP="009F2575">
      <w:pPr>
        <w:jc w:val="both"/>
        <w:rPr>
          <w:rFonts w:ascii="Arial" w:hAnsi="Arial" w:cs="Arial"/>
          <w:bCs/>
          <w:sz w:val="20"/>
          <w:szCs w:val="20"/>
        </w:rPr>
      </w:pPr>
    </w:p>
    <w:p w14:paraId="187FD83F" w14:textId="406593B8" w:rsidR="007E3BEE" w:rsidRPr="00C57E50" w:rsidRDefault="009F2575" w:rsidP="009F2575">
      <w:pPr>
        <w:spacing w:after="120"/>
        <w:jc w:val="both"/>
        <w:rPr>
          <w:rFonts w:ascii="Arial" w:hAnsi="Arial" w:cs="Arial"/>
          <w:i/>
          <w:iCs/>
          <w:sz w:val="20"/>
          <w:szCs w:val="20"/>
        </w:rPr>
      </w:pPr>
      <w:r w:rsidRPr="009C58C3">
        <w:rPr>
          <w:rFonts w:ascii="Arial" w:hAnsi="Arial" w:cs="Arial"/>
          <w:b/>
          <w:i/>
          <w:iCs/>
          <w:sz w:val="20"/>
          <w:szCs w:val="20"/>
        </w:rPr>
        <w:t xml:space="preserve">Observation </w:t>
      </w:r>
      <w:r>
        <w:rPr>
          <w:rFonts w:ascii="Arial" w:hAnsi="Arial" w:cs="Arial"/>
          <w:b/>
          <w:i/>
          <w:iCs/>
          <w:sz w:val="20"/>
          <w:szCs w:val="20"/>
        </w:rPr>
        <w:t>5</w:t>
      </w:r>
      <w:r w:rsidRPr="009C58C3">
        <w:rPr>
          <w:rFonts w:ascii="Arial" w:hAnsi="Arial" w:cs="Arial"/>
          <w:bCs/>
          <w:i/>
          <w:iCs/>
          <w:sz w:val="20"/>
          <w:szCs w:val="20"/>
        </w:rPr>
        <w:t xml:space="preserve">: </w:t>
      </w:r>
      <w:r w:rsidRPr="005D2254">
        <w:rPr>
          <w:rFonts w:ascii="Arial" w:hAnsi="Arial" w:cs="Arial"/>
          <w:bCs/>
          <w:i/>
          <w:iCs/>
          <w:sz w:val="20"/>
          <w:szCs w:val="20"/>
        </w:rPr>
        <w:t>PSD imbalance has never been considered for PC3 and PC2 intra-band contiguous UL CA for MPR evaluations and requirements.</w:t>
      </w:r>
    </w:p>
    <w:p w14:paraId="5C03E6E7" w14:textId="77777777" w:rsidR="00C57E50" w:rsidRDefault="00C57E50" w:rsidP="00C57E50">
      <w:pPr>
        <w:jc w:val="both"/>
        <w:rPr>
          <w:rFonts w:ascii="Arial" w:hAnsi="Arial" w:cs="Arial"/>
          <w:sz w:val="20"/>
          <w:szCs w:val="20"/>
        </w:rPr>
      </w:pPr>
    </w:p>
    <w:p w14:paraId="7732B032" w14:textId="5844E089" w:rsidR="00C57E50" w:rsidRPr="008E75A4" w:rsidRDefault="009F2575" w:rsidP="009F2575">
      <w:pPr>
        <w:spacing w:after="120"/>
        <w:jc w:val="both"/>
        <w:rPr>
          <w:rFonts w:ascii="Arial" w:hAnsi="Arial" w:cs="Arial"/>
          <w:sz w:val="20"/>
          <w:szCs w:val="20"/>
        </w:rPr>
      </w:pPr>
      <w:r>
        <w:rPr>
          <w:rFonts w:ascii="Arial" w:hAnsi="Arial" w:cs="Arial"/>
          <w:b/>
          <w:i/>
          <w:iCs/>
          <w:sz w:val="20"/>
          <w:szCs w:val="20"/>
        </w:rPr>
        <w:t>Proposal</w:t>
      </w:r>
      <w:r w:rsidRPr="009C58C3">
        <w:rPr>
          <w:rFonts w:ascii="Arial" w:hAnsi="Arial" w:cs="Arial"/>
          <w:b/>
          <w:i/>
          <w:iCs/>
          <w:sz w:val="20"/>
          <w:szCs w:val="20"/>
        </w:rPr>
        <w:t xml:space="preserve"> </w:t>
      </w:r>
      <w:r>
        <w:rPr>
          <w:rFonts w:ascii="Arial" w:hAnsi="Arial" w:cs="Arial"/>
          <w:b/>
          <w:i/>
          <w:iCs/>
          <w:sz w:val="20"/>
          <w:szCs w:val="20"/>
        </w:rPr>
        <w:t>1</w:t>
      </w:r>
      <w:r w:rsidRPr="009C58C3">
        <w:rPr>
          <w:rFonts w:ascii="Arial" w:hAnsi="Arial" w:cs="Arial"/>
          <w:bCs/>
          <w:i/>
          <w:iCs/>
          <w:sz w:val="20"/>
          <w:szCs w:val="20"/>
        </w:rPr>
        <w:t xml:space="preserve">: </w:t>
      </w:r>
      <w:r>
        <w:rPr>
          <w:rFonts w:ascii="Arial" w:hAnsi="Arial" w:cs="Arial"/>
          <w:bCs/>
          <w:i/>
          <w:iCs/>
          <w:sz w:val="20"/>
          <w:szCs w:val="20"/>
        </w:rPr>
        <w:t>F</w:t>
      </w:r>
      <w:r w:rsidRPr="00935CDD">
        <w:rPr>
          <w:rFonts w:ascii="Arial" w:hAnsi="Arial" w:cs="Arial"/>
          <w:bCs/>
          <w:i/>
          <w:iCs/>
          <w:sz w:val="20"/>
          <w:szCs w:val="20"/>
        </w:rPr>
        <w:t>or PC1.5 intra-band contiguous UL CA, MPR requirements are only evaluated and specified based on equal PSD between the two carriers.</w:t>
      </w:r>
    </w:p>
    <w:p w14:paraId="6BED450C" w14:textId="77777777" w:rsidR="00C57E50" w:rsidRDefault="00C57E50" w:rsidP="007E3BEE">
      <w:pPr>
        <w:jc w:val="both"/>
        <w:rPr>
          <w:rFonts w:ascii="Arial" w:hAnsi="Arial" w:cs="Arial"/>
          <w:sz w:val="20"/>
          <w:szCs w:val="20"/>
        </w:rPr>
      </w:pPr>
    </w:p>
    <w:p w14:paraId="251938DD" w14:textId="77777777" w:rsidR="009F2575" w:rsidRDefault="009F2575" w:rsidP="009F2575">
      <w:pPr>
        <w:spacing w:after="120"/>
        <w:jc w:val="both"/>
        <w:rPr>
          <w:rFonts w:ascii="Arial" w:hAnsi="Arial" w:cs="Arial"/>
          <w:bCs/>
          <w:i/>
          <w:iCs/>
          <w:sz w:val="20"/>
          <w:szCs w:val="20"/>
        </w:rPr>
      </w:pPr>
      <w:r w:rsidRPr="00CE1748">
        <w:rPr>
          <w:rFonts w:ascii="Arial" w:hAnsi="Arial" w:cs="Arial"/>
          <w:b/>
          <w:i/>
          <w:iCs/>
          <w:sz w:val="20"/>
          <w:szCs w:val="20"/>
        </w:rPr>
        <w:t xml:space="preserve">Observation </w:t>
      </w:r>
      <w:r>
        <w:rPr>
          <w:rFonts w:ascii="Arial" w:hAnsi="Arial" w:cs="Arial"/>
          <w:b/>
          <w:i/>
          <w:iCs/>
          <w:sz w:val="20"/>
          <w:szCs w:val="20"/>
        </w:rPr>
        <w:t>6</w:t>
      </w:r>
      <w:r w:rsidRPr="00CE1748">
        <w:rPr>
          <w:rFonts w:ascii="Arial" w:hAnsi="Arial" w:cs="Arial"/>
          <w:bCs/>
          <w:i/>
          <w:iCs/>
          <w:sz w:val="20"/>
          <w:szCs w:val="20"/>
        </w:rPr>
        <w:t>: For PC1.5 intra-band non-contiguous UL CA based on dualPA architecture</w:t>
      </w:r>
      <w:r>
        <w:rPr>
          <w:rFonts w:ascii="Arial" w:hAnsi="Arial" w:cs="Arial"/>
          <w:bCs/>
          <w:i/>
          <w:iCs/>
          <w:sz w:val="20"/>
          <w:szCs w:val="20"/>
        </w:rPr>
        <w:t>, each UL carrier can only be transmitted with up to 26dBm output power.</w:t>
      </w:r>
    </w:p>
    <w:p w14:paraId="53A72C02" w14:textId="77777777" w:rsidR="009F2575" w:rsidRPr="00BA5F24" w:rsidRDefault="009F2575" w:rsidP="009F2575">
      <w:pPr>
        <w:jc w:val="both"/>
        <w:rPr>
          <w:rFonts w:ascii="Arial" w:hAnsi="Arial" w:cs="Arial"/>
          <w:bCs/>
          <w:sz w:val="20"/>
          <w:szCs w:val="20"/>
        </w:rPr>
      </w:pPr>
    </w:p>
    <w:p w14:paraId="0195785E" w14:textId="4F502BA2" w:rsidR="00C57E50" w:rsidRDefault="009F2575" w:rsidP="00472C4E">
      <w:pPr>
        <w:spacing w:after="120"/>
        <w:jc w:val="both"/>
        <w:rPr>
          <w:rFonts w:ascii="Arial" w:hAnsi="Arial" w:cs="Arial"/>
          <w:bCs/>
          <w:i/>
          <w:iCs/>
          <w:sz w:val="20"/>
          <w:szCs w:val="20"/>
        </w:rPr>
      </w:pPr>
      <w:r w:rsidRPr="00CE1748">
        <w:rPr>
          <w:rFonts w:ascii="Arial" w:hAnsi="Arial" w:cs="Arial"/>
          <w:b/>
          <w:i/>
          <w:iCs/>
          <w:sz w:val="20"/>
          <w:szCs w:val="20"/>
        </w:rPr>
        <w:t xml:space="preserve">Observation </w:t>
      </w:r>
      <w:r>
        <w:rPr>
          <w:rFonts w:ascii="Arial" w:hAnsi="Arial" w:cs="Arial"/>
          <w:b/>
          <w:i/>
          <w:iCs/>
          <w:sz w:val="20"/>
          <w:szCs w:val="20"/>
        </w:rPr>
        <w:t>7</w:t>
      </w:r>
      <w:r w:rsidRPr="00CE1748">
        <w:rPr>
          <w:rFonts w:ascii="Arial" w:hAnsi="Arial" w:cs="Arial"/>
          <w:bCs/>
          <w:i/>
          <w:iCs/>
          <w:sz w:val="20"/>
          <w:szCs w:val="20"/>
        </w:rPr>
        <w:t>: For PC1.5 intra-band non-contiguous UL CA based on dualPA architecture</w:t>
      </w:r>
      <w:r>
        <w:rPr>
          <w:rFonts w:ascii="Arial" w:hAnsi="Arial" w:cs="Arial"/>
          <w:bCs/>
          <w:i/>
          <w:iCs/>
          <w:sz w:val="20"/>
          <w:szCs w:val="20"/>
        </w:rPr>
        <w:t>, to reach the maximum total output power at 29 dBm, the PSD imbalance could be up to 24.4 dB between the two carriers.</w:t>
      </w:r>
    </w:p>
    <w:p w14:paraId="4DAE93BF" w14:textId="77777777" w:rsidR="00472C4E" w:rsidRDefault="00472C4E" w:rsidP="009F2575">
      <w:pPr>
        <w:jc w:val="both"/>
        <w:rPr>
          <w:rFonts w:ascii="Arial" w:hAnsi="Arial" w:cs="Arial"/>
          <w:bCs/>
          <w:i/>
          <w:iCs/>
          <w:sz w:val="20"/>
          <w:szCs w:val="20"/>
        </w:rPr>
      </w:pPr>
    </w:p>
    <w:p w14:paraId="3052D01F" w14:textId="484A7665" w:rsidR="00472C4E" w:rsidRDefault="00472C4E" w:rsidP="00472C4E">
      <w:pPr>
        <w:spacing w:after="120"/>
        <w:jc w:val="both"/>
        <w:rPr>
          <w:rFonts w:ascii="Arial" w:hAnsi="Arial" w:cs="Arial"/>
          <w:sz w:val="20"/>
          <w:szCs w:val="20"/>
        </w:rPr>
      </w:pPr>
      <w:r w:rsidRPr="00CE1748">
        <w:rPr>
          <w:rFonts w:ascii="Arial" w:hAnsi="Arial" w:cs="Arial"/>
          <w:b/>
          <w:i/>
          <w:iCs/>
          <w:sz w:val="20"/>
          <w:szCs w:val="20"/>
        </w:rPr>
        <w:t xml:space="preserve">Observation </w:t>
      </w:r>
      <w:r>
        <w:rPr>
          <w:rFonts w:ascii="Arial" w:hAnsi="Arial" w:cs="Arial"/>
          <w:b/>
          <w:i/>
          <w:iCs/>
          <w:sz w:val="20"/>
          <w:szCs w:val="20"/>
        </w:rPr>
        <w:t>8</w:t>
      </w:r>
      <w:r w:rsidRPr="00CE1748">
        <w:rPr>
          <w:rFonts w:ascii="Arial" w:hAnsi="Arial" w:cs="Arial"/>
          <w:bCs/>
          <w:i/>
          <w:iCs/>
          <w:sz w:val="20"/>
          <w:szCs w:val="20"/>
        </w:rPr>
        <w:t>: For PC1.5 intra-band non-contiguous UL CA based on dualPA architecture</w:t>
      </w:r>
      <w:r>
        <w:rPr>
          <w:rFonts w:ascii="Arial" w:hAnsi="Arial" w:cs="Arial"/>
          <w:bCs/>
          <w:i/>
          <w:iCs/>
          <w:sz w:val="20"/>
          <w:szCs w:val="20"/>
        </w:rPr>
        <w:t xml:space="preserve">, </w:t>
      </w:r>
      <w:r w:rsidRPr="00E03AA2">
        <w:rPr>
          <w:rFonts w:ascii="Arial" w:hAnsi="Arial" w:cs="Arial"/>
          <w:bCs/>
          <w:i/>
          <w:iCs/>
          <w:sz w:val="20"/>
          <w:szCs w:val="20"/>
        </w:rPr>
        <w:t>to fully utilize the maximum total output power capability at 29 dBm, PSD imbalance would be desired when there is unequal transmission bandwidth between the two carriers even the cell deployment is collocated.</w:t>
      </w:r>
    </w:p>
    <w:p w14:paraId="0E20AF9D" w14:textId="77777777" w:rsidR="00472C4E" w:rsidRDefault="00472C4E" w:rsidP="009F2575">
      <w:pPr>
        <w:jc w:val="both"/>
        <w:rPr>
          <w:rFonts w:ascii="Arial" w:hAnsi="Arial" w:cs="Arial"/>
          <w:sz w:val="20"/>
          <w:szCs w:val="20"/>
        </w:rPr>
      </w:pPr>
    </w:p>
    <w:p w14:paraId="0EB59816" w14:textId="77777777" w:rsidR="00472C4E" w:rsidRDefault="00472C4E" w:rsidP="00472C4E">
      <w:pPr>
        <w:spacing w:after="120"/>
        <w:jc w:val="both"/>
        <w:rPr>
          <w:rFonts w:ascii="Arial" w:hAnsi="Arial" w:cs="Arial"/>
          <w:sz w:val="20"/>
          <w:szCs w:val="20"/>
        </w:rPr>
      </w:pPr>
      <w:r w:rsidRPr="00CE1748">
        <w:rPr>
          <w:rFonts w:ascii="Arial" w:hAnsi="Arial" w:cs="Arial"/>
          <w:b/>
          <w:i/>
          <w:iCs/>
          <w:sz w:val="20"/>
          <w:szCs w:val="20"/>
        </w:rPr>
        <w:t xml:space="preserve">Observation </w:t>
      </w:r>
      <w:r>
        <w:rPr>
          <w:rFonts w:ascii="Arial" w:hAnsi="Arial" w:cs="Arial"/>
          <w:b/>
          <w:i/>
          <w:iCs/>
          <w:sz w:val="20"/>
          <w:szCs w:val="20"/>
        </w:rPr>
        <w:t>9</w:t>
      </w:r>
      <w:r w:rsidRPr="00CE1748">
        <w:rPr>
          <w:rFonts w:ascii="Arial" w:hAnsi="Arial" w:cs="Arial"/>
          <w:bCs/>
          <w:i/>
          <w:iCs/>
          <w:sz w:val="20"/>
          <w:szCs w:val="20"/>
        </w:rPr>
        <w:t>: For PC1.5 intra-band non-contiguous UL CA based on dualPA architecture</w:t>
      </w:r>
      <w:r>
        <w:rPr>
          <w:rFonts w:ascii="Arial" w:hAnsi="Arial" w:cs="Arial"/>
          <w:bCs/>
          <w:i/>
          <w:iCs/>
          <w:sz w:val="20"/>
          <w:szCs w:val="20"/>
        </w:rPr>
        <w:t xml:space="preserve">, </w:t>
      </w:r>
      <w:r w:rsidRPr="00E03AA2">
        <w:rPr>
          <w:rFonts w:ascii="Arial" w:hAnsi="Arial" w:cs="Arial"/>
          <w:bCs/>
          <w:i/>
          <w:iCs/>
          <w:sz w:val="20"/>
          <w:szCs w:val="20"/>
        </w:rPr>
        <w:t xml:space="preserve">MPR requirement is expected to be referenced to </w:t>
      </w:r>
      <w:r>
        <w:rPr>
          <w:rFonts w:ascii="Arial" w:hAnsi="Arial" w:cs="Arial"/>
          <w:bCs/>
          <w:i/>
          <w:iCs/>
          <w:sz w:val="20"/>
          <w:szCs w:val="20"/>
        </w:rPr>
        <w:t xml:space="preserve">PC1.5 </w:t>
      </w:r>
      <w:r w:rsidRPr="00E03AA2">
        <w:rPr>
          <w:rFonts w:ascii="Arial" w:hAnsi="Arial" w:cs="Arial"/>
          <w:bCs/>
          <w:i/>
          <w:iCs/>
          <w:sz w:val="20"/>
          <w:szCs w:val="20"/>
        </w:rPr>
        <w:t>maximum output power at 29 dBm, therefore, PSD imbalance would be unavoidable for MPR evaluations</w:t>
      </w:r>
      <w:r>
        <w:rPr>
          <w:rFonts w:ascii="Arial" w:hAnsi="Arial" w:cs="Arial"/>
          <w:bCs/>
          <w:i/>
          <w:iCs/>
          <w:sz w:val="20"/>
          <w:szCs w:val="20"/>
        </w:rPr>
        <w:t>.</w:t>
      </w:r>
    </w:p>
    <w:p w14:paraId="67984122" w14:textId="77777777" w:rsidR="00472C4E" w:rsidRDefault="00472C4E" w:rsidP="00472C4E">
      <w:pPr>
        <w:jc w:val="both"/>
        <w:rPr>
          <w:rFonts w:ascii="Arial" w:hAnsi="Arial" w:cs="Arial"/>
          <w:sz w:val="20"/>
          <w:szCs w:val="20"/>
        </w:rPr>
      </w:pPr>
    </w:p>
    <w:p w14:paraId="163B9031" w14:textId="330E9943" w:rsidR="00472C4E" w:rsidRDefault="00472C4E" w:rsidP="00472C4E">
      <w:pPr>
        <w:spacing w:after="120"/>
        <w:jc w:val="both"/>
        <w:rPr>
          <w:rFonts w:ascii="Arial" w:hAnsi="Arial" w:cs="Arial"/>
          <w:bCs/>
          <w:i/>
          <w:iCs/>
          <w:sz w:val="20"/>
          <w:szCs w:val="20"/>
        </w:rPr>
      </w:pPr>
      <w:r w:rsidRPr="00CE1748">
        <w:rPr>
          <w:rFonts w:ascii="Arial" w:hAnsi="Arial" w:cs="Arial"/>
          <w:b/>
          <w:i/>
          <w:iCs/>
          <w:sz w:val="20"/>
          <w:szCs w:val="20"/>
        </w:rPr>
        <w:t>Observation</w:t>
      </w:r>
      <w:r>
        <w:rPr>
          <w:rFonts w:ascii="Arial" w:hAnsi="Arial" w:cs="Arial"/>
          <w:b/>
          <w:i/>
          <w:iCs/>
          <w:sz w:val="20"/>
          <w:szCs w:val="20"/>
        </w:rPr>
        <w:t xml:space="preserve"> 10</w:t>
      </w:r>
      <w:r w:rsidRPr="00CE1748">
        <w:rPr>
          <w:rFonts w:ascii="Arial" w:hAnsi="Arial" w:cs="Arial"/>
          <w:bCs/>
          <w:i/>
          <w:iCs/>
          <w:sz w:val="20"/>
          <w:szCs w:val="20"/>
        </w:rPr>
        <w:t xml:space="preserve">: </w:t>
      </w:r>
      <w:r w:rsidRPr="00E03AA2">
        <w:rPr>
          <w:rFonts w:ascii="Arial" w:hAnsi="Arial" w:cs="Arial"/>
          <w:bCs/>
          <w:i/>
          <w:iCs/>
          <w:sz w:val="20"/>
          <w:szCs w:val="20"/>
        </w:rPr>
        <w:t>PC1.5 MPR evaluations with unequal PSD could be more complicated as the power back-off may not be evenly applied between the two carriers, or the UL performance could be compromised.</w:t>
      </w:r>
    </w:p>
    <w:p w14:paraId="486ECBF7" w14:textId="77777777" w:rsidR="00472C4E" w:rsidRPr="00472C4E" w:rsidRDefault="00472C4E" w:rsidP="00472C4E">
      <w:pPr>
        <w:jc w:val="both"/>
        <w:rPr>
          <w:rFonts w:ascii="Arial" w:hAnsi="Arial" w:cs="Arial"/>
          <w:bCs/>
          <w:sz w:val="20"/>
          <w:szCs w:val="20"/>
        </w:rPr>
      </w:pPr>
    </w:p>
    <w:p w14:paraId="6691C9A4" w14:textId="28A74DD4" w:rsidR="00472C4E" w:rsidRDefault="002B1932" w:rsidP="00472C4E">
      <w:pPr>
        <w:spacing w:after="120"/>
        <w:jc w:val="both"/>
        <w:rPr>
          <w:rFonts w:ascii="Arial" w:hAnsi="Arial" w:cs="Arial"/>
          <w:sz w:val="20"/>
          <w:szCs w:val="20"/>
        </w:rPr>
      </w:pPr>
      <w:r w:rsidRPr="00CE1748">
        <w:rPr>
          <w:rFonts w:ascii="Arial" w:hAnsi="Arial" w:cs="Arial"/>
          <w:b/>
          <w:i/>
          <w:iCs/>
          <w:sz w:val="20"/>
          <w:szCs w:val="20"/>
        </w:rPr>
        <w:t>Observation</w:t>
      </w:r>
      <w:r>
        <w:rPr>
          <w:rFonts w:ascii="Arial" w:hAnsi="Arial" w:cs="Arial"/>
          <w:b/>
          <w:i/>
          <w:iCs/>
          <w:sz w:val="20"/>
          <w:szCs w:val="20"/>
        </w:rPr>
        <w:t xml:space="preserve"> 11</w:t>
      </w:r>
      <w:r w:rsidRPr="00CE1748">
        <w:rPr>
          <w:rFonts w:ascii="Arial" w:hAnsi="Arial" w:cs="Arial"/>
          <w:bCs/>
          <w:i/>
          <w:iCs/>
          <w:sz w:val="20"/>
          <w:szCs w:val="20"/>
        </w:rPr>
        <w:t xml:space="preserve">: </w:t>
      </w:r>
      <w:r w:rsidRPr="00144D7A">
        <w:rPr>
          <w:rFonts w:ascii="Arial" w:hAnsi="Arial" w:cs="Arial"/>
          <w:bCs/>
          <w:i/>
          <w:iCs/>
          <w:sz w:val="20"/>
          <w:szCs w:val="20"/>
        </w:rPr>
        <w:t>MPR evaluations based on uneven power back-off could be rather complicated and time consuming.</w:t>
      </w:r>
    </w:p>
    <w:p w14:paraId="01F185AE" w14:textId="77777777" w:rsidR="00472C4E" w:rsidRDefault="00472C4E" w:rsidP="00472C4E">
      <w:pPr>
        <w:jc w:val="both"/>
        <w:rPr>
          <w:rFonts w:ascii="Arial" w:hAnsi="Arial" w:cs="Arial"/>
          <w:sz w:val="20"/>
          <w:szCs w:val="20"/>
        </w:rPr>
      </w:pPr>
    </w:p>
    <w:p w14:paraId="29A2034F" w14:textId="06382263" w:rsidR="00472C4E" w:rsidRDefault="00A7596D" w:rsidP="00472C4E">
      <w:pPr>
        <w:spacing w:after="120"/>
        <w:jc w:val="both"/>
        <w:rPr>
          <w:rFonts w:ascii="Arial" w:hAnsi="Arial" w:cs="Arial"/>
          <w:sz w:val="20"/>
          <w:szCs w:val="20"/>
        </w:rPr>
      </w:pPr>
      <w:r w:rsidRPr="00CE1748">
        <w:rPr>
          <w:rFonts w:ascii="Arial" w:hAnsi="Arial" w:cs="Arial"/>
          <w:b/>
          <w:i/>
          <w:iCs/>
          <w:sz w:val="20"/>
          <w:szCs w:val="20"/>
        </w:rPr>
        <w:t>Observation</w:t>
      </w:r>
      <w:r>
        <w:rPr>
          <w:rFonts w:ascii="Arial" w:hAnsi="Arial" w:cs="Arial"/>
          <w:b/>
          <w:i/>
          <w:iCs/>
          <w:sz w:val="20"/>
          <w:szCs w:val="20"/>
        </w:rPr>
        <w:t xml:space="preserve"> 12</w:t>
      </w:r>
      <w:r w:rsidRPr="00CE1748">
        <w:rPr>
          <w:rFonts w:ascii="Arial" w:hAnsi="Arial" w:cs="Arial"/>
          <w:bCs/>
          <w:i/>
          <w:iCs/>
          <w:sz w:val="20"/>
          <w:szCs w:val="20"/>
        </w:rPr>
        <w:t xml:space="preserve">: </w:t>
      </w:r>
      <w:r>
        <w:rPr>
          <w:rFonts w:ascii="Arial" w:hAnsi="Arial" w:cs="Arial"/>
          <w:bCs/>
          <w:i/>
          <w:iCs/>
          <w:sz w:val="20"/>
          <w:szCs w:val="20"/>
        </w:rPr>
        <w:t>S</w:t>
      </w:r>
      <w:r w:rsidRPr="0012595B">
        <w:rPr>
          <w:rFonts w:ascii="Arial" w:hAnsi="Arial" w:cs="Arial"/>
          <w:bCs/>
          <w:i/>
          <w:iCs/>
          <w:sz w:val="20"/>
          <w:szCs w:val="20"/>
        </w:rPr>
        <w:t xml:space="preserve">upporting PC1.5 </w:t>
      </w:r>
      <w:r>
        <w:rPr>
          <w:rFonts w:ascii="Arial" w:hAnsi="Arial" w:cs="Arial"/>
          <w:bCs/>
          <w:i/>
          <w:iCs/>
          <w:sz w:val="20"/>
          <w:szCs w:val="20"/>
        </w:rPr>
        <w:t xml:space="preserve">intra-band non-contiguous UL CA </w:t>
      </w:r>
      <w:r w:rsidRPr="0012595B">
        <w:rPr>
          <w:rFonts w:ascii="Arial" w:hAnsi="Arial" w:cs="Arial"/>
          <w:bCs/>
          <w:i/>
          <w:iCs/>
          <w:sz w:val="20"/>
          <w:szCs w:val="20"/>
        </w:rPr>
        <w:t>could be a diminishing return as there may not be any performance gain over PC2 or even PC3 and the onerous efforts to specify the requirements may not be well justified.</w:t>
      </w:r>
    </w:p>
    <w:p w14:paraId="4765AFCA" w14:textId="77777777" w:rsidR="00472C4E" w:rsidRDefault="00472C4E" w:rsidP="00472C4E">
      <w:pPr>
        <w:jc w:val="both"/>
        <w:rPr>
          <w:rFonts w:ascii="Arial" w:hAnsi="Arial" w:cs="Arial"/>
          <w:sz w:val="20"/>
          <w:szCs w:val="20"/>
        </w:rPr>
      </w:pPr>
    </w:p>
    <w:p w14:paraId="1146732F" w14:textId="3EBC7F85" w:rsidR="00472C4E" w:rsidRPr="00A7596D" w:rsidRDefault="00A7596D" w:rsidP="00A7596D">
      <w:pPr>
        <w:spacing w:after="120"/>
        <w:jc w:val="both"/>
        <w:rPr>
          <w:rFonts w:ascii="Arial" w:hAnsi="Arial" w:cs="Arial"/>
          <w:bCs/>
          <w:i/>
          <w:iCs/>
          <w:sz w:val="20"/>
          <w:szCs w:val="20"/>
        </w:rPr>
      </w:pPr>
      <w:r>
        <w:rPr>
          <w:rFonts w:ascii="Arial" w:hAnsi="Arial" w:cs="Arial"/>
          <w:b/>
          <w:i/>
          <w:iCs/>
          <w:sz w:val="20"/>
          <w:szCs w:val="20"/>
        </w:rPr>
        <w:t>Proposal 2</w:t>
      </w:r>
      <w:r w:rsidRPr="00CE1748">
        <w:rPr>
          <w:rFonts w:ascii="Arial" w:hAnsi="Arial" w:cs="Arial"/>
          <w:bCs/>
          <w:i/>
          <w:iCs/>
          <w:sz w:val="20"/>
          <w:szCs w:val="20"/>
        </w:rPr>
        <w:t xml:space="preserve">: </w:t>
      </w:r>
      <w:r>
        <w:rPr>
          <w:rFonts w:ascii="Arial" w:hAnsi="Arial" w:cs="Arial"/>
          <w:bCs/>
          <w:i/>
          <w:iCs/>
          <w:sz w:val="20"/>
          <w:szCs w:val="20"/>
        </w:rPr>
        <w:t>I</w:t>
      </w:r>
      <w:r w:rsidRPr="0012595B">
        <w:rPr>
          <w:rFonts w:ascii="Arial" w:hAnsi="Arial" w:cs="Arial"/>
          <w:bCs/>
          <w:i/>
          <w:iCs/>
          <w:sz w:val="20"/>
          <w:szCs w:val="20"/>
        </w:rPr>
        <w:t xml:space="preserve">ntroduce UL Tx switching </w:t>
      </w:r>
      <w:r>
        <w:rPr>
          <w:rFonts w:ascii="Arial" w:hAnsi="Arial" w:cs="Arial"/>
          <w:bCs/>
          <w:i/>
          <w:iCs/>
          <w:sz w:val="20"/>
          <w:szCs w:val="20"/>
        </w:rPr>
        <w:t>for</w:t>
      </w:r>
      <w:r w:rsidRPr="0012595B">
        <w:rPr>
          <w:rFonts w:ascii="Arial" w:hAnsi="Arial" w:cs="Arial"/>
          <w:bCs/>
          <w:i/>
          <w:iCs/>
          <w:sz w:val="20"/>
          <w:szCs w:val="20"/>
        </w:rPr>
        <w:t xml:space="preserve"> intra-band non-contiguous UL CA with UL MIMO </w:t>
      </w:r>
      <w:r>
        <w:rPr>
          <w:rFonts w:ascii="Arial" w:hAnsi="Arial" w:cs="Arial"/>
          <w:bCs/>
          <w:i/>
          <w:iCs/>
          <w:sz w:val="20"/>
          <w:szCs w:val="20"/>
        </w:rPr>
        <w:t>as an enhanced feature to PC1.5 intra-band non-contiguous UL CA without UL MIMO.</w:t>
      </w:r>
    </w:p>
    <w:p w14:paraId="5D2DDC34" w14:textId="02A4DA11" w:rsidR="005E69AE" w:rsidRDefault="00987E57" w:rsidP="005E69AE">
      <w:pPr>
        <w:pStyle w:val="Heading1"/>
      </w:pPr>
      <w:r>
        <w:t>4</w:t>
      </w:r>
      <w:r w:rsidR="005E69AE">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66825C1" w14:textId="484A08D0" w:rsidR="0057672C" w:rsidRDefault="003E29F3" w:rsidP="00A9741F">
      <w:pPr>
        <w:pStyle w:val="EX"/>
        <w:spacing w:after="180"/>
        <w:ind w:left="374" w:hanging="374"/>
        <w:jc w:val="both"/>
        <w:rPr>
          <w:rFonts w:ascii="Arial" w:hAnsi="Arial" w:cs="Arial"/>
          <w:bCs/>
          <w:sz w:val="20"/>
          <w:szCs w:val="20"/>
        </w:rPr>
      </w:pPr>
      <w:r w:rsidRPr="003E29F3">
        <w:rPr>
          <w:rFonts w:ascii="Arial" w:hAnsi="Arial" w:cs="Arial"/>
          <w:bCs/>
          <w:sz w:val="20"/>
          <w:szCs w:val="20"/>
        </w:rPr>
        <w:t>RP-240828</w:t>
      </w:r>
      <w:r w:rsidR="00B9016C" w:rsidRPr="008B4249">
        <w:rPr>
          <w:rFonts w:ascii="Arial" w:hAnsi="Arial" w:cs="Arial"/>
          <w:bCs/>
          <w:sz w:val="20"/>
          <w:szCs w:val="20"/>
        </w:rPr>
        <w:t xml:space="preserve"> </w:t>
      </w:r>
      <w:r w:rsidR="00B9016C">
        <w:rPr>
          <w:rFonts w:ascii="Arial" w:hAnsi="Arial" w:cs="Arial"/>
          <w:bCs/>
          <w:sz w:val="20"/>
          <w:szCs w:val="20"/>
        </w:rPr>
        <w:t>“</w:t>
      </w:r>
      <w:r w:rsidRPr="003E29F3">
        <w:rPr>
          <w:rFonts w:ascii="Arial" w:hAnsi="Arial" w:cs="Arial"/>
          <w:bCs/>
          <w:sz w:val="20"/>
          <w:szCs w:val="20"/>
        </w:rPr>
        <w:t>New WID: UE RF enhancements for NR FR1/FR2 and EN-DC, Phase 4</w:t>
      </w:r>
      <w:r w:rsidR="00B9016C">
        <w:rPr>
          <w:rFonts w:ascii="Arial" w:hAnsi="Arial" w:cs="Arial"/>
          <w:bCs/>
          <w:sz w:val="20"/>
          <w:szCs w:val="20"/>
        </w:rPr>
        <w:t>”</w:t>
      </w:r>
      <w:r w:rsidR="00B9016C" w:rsidRPr="008B4249">
        <w:rPr>
          <w:rFonts w:ascii="Arial" w:hAnsi="Arial" w:cs="Arial"/>
          <w:bCs/>
          <w:sz w:val="20"/>
          <w:szCs w:val="20"/>
        </w:rPr>
        <w:t xml:space="preserve">, </w:t>
      </w:r>
      <w:r>
        <w:rPr>
          <w:rFonts w:ascii="Arial" w:hAnsi="Arial" w:cs="Arial"/>
          <w:bCs/>
          <w:sz w:val="20"/>
          <w:szCs w:val="20"/>
        </w:rPr>
        <w:t>RAN4 Chair (Huawei)</w:t>
      </w:r>
      <w:r w:rsidR="00B9016C">
        <w:rPr>
          <w:rFonts w:ascii="Arial" w:hAnsi="Arial" w:cs="Arial"/>
          <w:bCs/>
          <w:sz w:val="20"/>
          <w:szCs w:val="20"/>
        </w:rPr>
        <w:t xml:space="preserve">, </w:t>
      </w:r>
      <w:r w:rsidR="00B9016C" w:rsidRPr="008B4249">
        <w:rPr>
          <w:rFonts w:ascii="Arial" w:hAnsi="Arial" w:cs="Arial"/>
          <w:bCs/>
          <w:sz w:val="20"/>
          <w:szCs w:val="20"/>
        </w:rPr>
        <w:t>3GPP TSG-RAN Meeting #</w:t>
      </w:r>
      <w:r>
        <w:rPr>
          <w:rFonts w:ascii="Arial" w:hAnsi="Arial" w:cs="Arial"/>
          <w:bCs/>
          <w:sz w:val="20"/>
          <w:szCs w:val="20"/>
        </w:rPr>
        <w:t>103</w:t>
      </w:r>
      <w:r w:rsidR="00B9016C" w:rsidRPr="008B4249">
        <w:rPr>
          <w:rFonts w:ascii="Arial" w:hAnsi="Arial" w:cs="Arial"/>
          <w:bCs/>
          <w:sz w:val="20"/>
          <w:szCs w:val="20"/>
        </w:rPr>
        <w:t xml:space="preserve">, </w:t>
      </w:r>
      <w:r w:rsidRPr="003E29F3">
        <w:rPr>
          <w:rFonts w:ascii="Arial" w:hAnsi="Arial" w:cs="Arial"/>
          <w:bCs/>
          <w:sz w:val="20"/>
          <w:szCs w:val="20"/>
        </w:rPr>
        <w:t>Maastricht</w:t>
      </w:r>
      <w:r w:rsidR="00B9016C">
        <w:rPr>
          <w:rFonts w:ascii="Arial" w:hAnsi="Arial" w:cs="Arial"/>
          <w:bCs/>
          <w:sz w:val="20"/>
          <w:szCs w:val="20"/>
        </w:rPr>
        <w:t xml:space="preserve">, </w:t>
      </w:r>
      <w:r w:rsidR="00B9016C" w:rsidRPr="00680F8F">
        <w:rPr>
          <w:rFonts w:ascii="Arial" w:hAnsi="Arial" w:cs="Arial"/>
          <w:bCs/>
          <w:sz w:val="20"/>
          <w:szCs w:val="20"/>
        </w:rPr>
        <w:t>Netherlands</w:t>
      </w:r>
      <w:r w:rsidR="00B9016C" w:rsidRPr="008B4249">
        <w:rPr>
          <w:rFonts w:ascii="Arial" w:hAnsi="Arial" w:cs="Arial"/>
          <w:bCs/>
          <w:sz w:val="20"/>
          <w:szCs w:val="20"/>
        </w:rPr>
        <w:t xml:space="preserve">, </w:t>
      </w:r>
      <w:r w:rsidR="00B9016C">
        <w:rPr>
          <w:rFonts w:ascii="Arial" w:hAnsi="Arial" w:cs="Arial"/>
          <w:bCs/>
          <w:sz w:val="20"/>
          <w:szCs w:val="20"/>
        </w:rPr>
        <w:t>March</w:t>
      </w:r>
      <w:r w:rsidR="00B9016C" w:rsidRPr="008B4249">
        <w:rPr>
          <w:rFonts w:ascii="Arial" w:hAnsi="Arial" w:cs="Arial"/>
          <w:bCs/>
          <w:sz w:val="20"/>
          <w:szCs w:val="20"/>
        </w:rPr>
        <w:t xml:space="preserve"> </w:t>
      </w:r>
      <w:r w:rsidR="00112B6A">
        <w:rPr>
          <w:rFonts w:ascii="Arial" w:hAnsi="Arial" w:cs="Arial"/>
          <w:bCs/>
          <w:sz w:val="20"/>
          <w:szCs w:val="20"/>
        </w:rPr>
        <w:t>18</w:t>
      </w:r>
      <w:r w:rsidR="00B9016C" w:rsidRPr="008B4249">
        <w:rPr>
          <w:rFonts w:ascii="Arial" w:hAnsi="Arial" w:cs="Arial"/>
          <w:bCs/>
          <w:sz w:val="20"/>
          <w:szCs w:val="20"/>
          <w:vertAlign w:val="superscript"/>
        </w:rPr>
        <w:t>th</w:t>
      </w:r>
      <w:r w:rsidR="00B9016C" w:rsidRPr="008B4249">
        <w:rPr>
          <w:rFonts w:ascii="Arial" w:hAnsi="Arial" w:cs="Arial"/>
          <w:bCs/>
          <w:sz w:val="20"/>
          <w:szCs w:val="20"/>
        </w:rPr>
        <w:t xml:space="preserve"> – </w:t>
      </w:r>
      <w:r w:rsidR="00B9016C">
        <w:rPr>
          <w:rFonts w:ascii="Arial" w:hAnsi="Arial" w:cs="Arial"/>
          <w:bCs/>
          <w:sz w:val="20"/>
          <w:szCs w:val="20"/>
        </w:rPr>
        <w:t>2</w:t>
      </w:r>
      <w:r w:rsidR="00112B6A">
        <w:rPr>
          <w:rFonts w:ascii="Arial" w:hAnsi="Arial" w:cs="Arial"/>
          <w:bCs/>
          <w:sz w:val="20"/>
          <w:szCs w:val="20"/>
        </w:rPr>
        <w:t>1</w:t>
      </w:r>
      <w:r w:rsidR="00112B6A">
        <w:rPr>
          <w:rFonts w:ascii="Arial" w:hAnsi="Arial" w:cs="Arial"/>
          <w:bCs/>
          <w:sz w:val="20"/>
          <w:szCs w:val="20"/>
          <w:vertAlign w:val="superscript"/>
        </w:rPr>
        <w:t>st</w:t>
      </w:r>
      <w:r w:rsidR="00B9016C" w:rsidRPr="008B4249">
        <w:rPr>
          <w:rFonts w:ascii="Arial" w:hAnsi="Arial" w:cs="Arial"/>
          <w:bCs/>
          <w:sz w:val="20"/>
          <w:szCs w:val="20"/>
        </w:rPr>
        <w:t>, 202</w:t>
      </w:r>
      <w:r w:rsidR="00112B6A">
        <w:rPr>
          <w:rFonts w:ascii="Arial" w:hAnsi="Arial" w:cs="Arial"/>
          <w:bCs/>
          <w:sz w:val="20"/>
          <w:szCs w:val="20"/>
        </w:rPr>
        <w:t>4</w:t>
      </w:r>
    </w:p>
    <w:p w14:paraId="6B45D8A2" w14:textId="7E72BBFE" w:rsidR="00C57E50" w:rsidRDefault="00CA510E" w:rsidP="00472C4E">
      <w:pPr>
        <w:pStyle w:val="EX"/>
        <w:spacing w:after="180"/>
        <w:ind w:left="374" w:hanging="374"/>
        <w:jc w:val="both"/>
        <w:rPr>
          <w:rFonts w:ascii="Arial" w:hAnsi="Arial" w:cs="Arial"/>
          <w:bCs/>
          <w:sz w:val="20"/>
          <w:szCs w:val="20"/>
        </w:rPr>
      </w:pPr>
      <w:r w:rsidRPr="00CA510E">
        <w:rPr>
          <w:rFonts w:ascii="Arial" w:hAnsi="Arial" w:cs="Arial"/>
          <w:bCs/>
          <w:sz w:val="20"/>
          <w:szCs w:val="20"/>
        </w:rPr>
        <w:t>R4-24</w:t>
      </w:r>
      <w:r w:rsidR="00727A5D">
        <w:rPr>
          <w:rFonts w:ascii="Arial" w:hAnsi="Arial" w:cs="Arial"/>
          <w:bCs/>
          <w:sz w:val="20"/>
          <w:szCs w:val="20"/>
        </w:rPr>
        <w:t>1</w:t>
      </w:r>
      <w:r w:rsidR="00D87CEF">
        <w:rPr>
          <w:rFonts w:ascii="Arial" w:hAnsi="Arial" w:cs="Arial"/>
          <w:bCs/>
          <w:sz w:val="20"/>
          <w:szCs w:val="20"/>
        </w:rPr>
        <w:t>4277</w:t>
      </w:r>
      <w:r w:rsidRPr="00CA510E">
        <w:rPr>
          <w:rFonts w:ascii="Arial" w:hAnsi="Arial" w:cs="Arial"/>
          <w:bCs/>
          <w:sz w:val="20"/>
          <w:szCs w:val="20"/>
        </w:rPr>
        <w:t xml:space="preserve"> “</w:t>
      </w:r>
      <w:r w:rsidR="00D87CEF" w:rsidRPr="00D87CEF">
        <w:rPr>
          <w:rFonts w:ascii="Arial" w:hAnsi="Arial" w:cs="Arial"/>
          <w:bCs/>
          <w:sz w:val="20"/>
          <w:szCs w:val="20"/>
        </w:rPr>
        <w:t>WF on HPUE for CA in TN</w:t>
      </w:r>
      <w:r w:rsidRPr="00CA510E">
        <w:rPr>
          <w:rFonts w:ascii="Arial" w:hAnsi="Arial" w:cs="Arial"/>
          <w:bCs/>
          <w:sz w:val="20"/>
          <w:szCs w:val="20"/>
        </w:rPr>
        <w:t xml:space="preserve">”, </w:t>
      </w:r>
      <w:r w:rsidR="005E1A8B">
        <w:rPr>
          <w:rFonts w:ascii="Arial" w:hAnsi="Arial" w:cs="Arial"/>
          <w:bCs/>
          <w:sz w:val="20"/>
          <w:szCs w:val="20"/>
        </w:rPr>
        <w:t>Samsung</w:t>
      </w:r>
      <w:r w:rsidRPr="00CA510E">
        <w:rPr>
          <w:rFonts w:ascii="Arial" w:hAnsi="Arial" w:cs="Arial"/>
          <w:bCs/>
          <w:sz w:val="20"/>
          <w:szCs w:val="20"/>
        </w:rPr>
        <w:t>, 3GPP TSG RAN WG4 Meeting #11</w:t>
      </w:r>
      <w:r w:rsidR="00D87CEF">
        <w:rPr>
          <w:rFonts w:ascii="Arial" w:hAnsi="Arial" w:cs="Arial"/>
          <w:bCs/>
          <w:sz w:val="20"/>
          <w:szCs w:val="20"/>
        </w:rPr>
        <w:t>2</w:t>
      </w:r>
      <w:r w:rsidRPr="00CA510E">
        <w:rPr>
          <w:rFonts w:ascii="Arial" w:hAnsi="Arial" w:cs="Arial"/>
          <w:bCs/>
          <w:sz w:val="20"/>
          <w:szCs w:val="20"/>
        </w:rPr>
        <w:t xml:space="preserve">, </w:t>
      </w:r>
      <w:r w:rsidR="00D87CEF">
        <w:rPr>
          <w:rFonts w:ascii="Arial" w:hAnsi="Arial" w:cs="Arial"/>
          <w:bCs/>
          <w:sz w:val="20"/>
          <w:szCs w:val="20"/>
        </w:rPr>
        <w:t>Maastricht</w:t>
      </w:r>
      <w:r w:rsidRPr="00CA510E">
        <w:rPr>
          <w:rFonts w:ascii="Arial" w:hAnsi="Arial" w:cs="Arial"/>
          <w:bCs/>
          <w:sz w:val="20"/>
          <w:szCs w:val="20"/>
        </w:rPr>
        <w:t xml:space="preserve">, </w:t>
      </w:r>
      <w:r w:rsidR="00D87CEF">
        <w:rPr>
          <w:rFonts w:ascii="Arial" w:hAnsi="Arial" w:cs="Arial"/>
          <w:bCs/>
          <w:sz w:val="20"/>
          <w:szCs w:val="20"/>
        </w:rPr>
        <w:t>Netherlands</w:t>
      </w:r>
      <w:r w:rsidRPr="00CA510E">
        <w:rPr>
          <w:rFonts w:ascii="Arial" w:hAnsi="Arial" w:cs="Arial"/>
          <w:bCs/>
          <w:sz w:val="20"/>
          <w:szCs w:val="20"/>
        </w:rPr>
        <w:t xml:space="preserve">, </w:t>
      </w:r>
      <w:r w:rsidR="00D87CEF">
        <w:rPr>
          <w:rFonts w:ascii="Arial" w:hAnsi="Arial" w:cs="Arial"/>
          <w:bCs/>
          <w:sz w:val="20"/>
          <w:szCs w:val="20"/>
        </w:rPr>
        <w:t>August</w:t>
      </w:r>
      <w:r w:rsidRPr="00CA510E">
        <w:rPr>
          <w:rFonts w:ascii="Arial" w:hAnsi="Arial" w:cs="Arial"/>
          <w:bCs/>
          <w:sz w:val="20"/>
          <w:szCs w:val="20"/>
        </w:rPr>
        <w:t xml:space="preserve"> </w:t>
      </w:r>
      <w:r w:rsidR="00D87CEF">
        <w:rPr>
          <w:rFonts w:ascii="Arial" w:hAnsi="Arial" w:cs="Arial"/>
          <w:bCs/>
          <w:sz w:val="20"/>
          <w:szCs w:val="20"/>
        </w:rPr>
        <w:t>19</w:t>
      </w:r>
      <w:r w:rsidRPr="00CA510E">
        <w:rPr>
          <w:rFonts w:ascii="Arial" w:hAnsi="Arial" w:cs="Arial"/>
          <w:bCs/>
          <w:sz w:val="20"/>
          <w:szCs w:val="20"/>
          <w:vertAlign w:val="superscript"/>
        </w:rPr>
        <w:t>th</w:t>
      </w:r>
      <w:r w:rsidRPr="00CA510E">
        <w:rPr>
          <w:rFonts w:ascii="Arial" w:hAnsi="Arial" w:cs="Arial"/>
          <w:bCs/>
          <w:sz w:val="20"/>
          <w:szCs w:val="20"/>
        </w:rPr>
        <w:t xml:space="preserve"> – </w:t>
      </w:r>
      <w:r w:rsidR="00727A5D">
        <w:rPr>
          <w:rFonts w:ascii="Arial" w:hAnsi="Arial" w:cs="Arial"/>
          <w:bCs/>
          <w:sz w:val="20"/>
          <w:szCs w:val="20"/>
        </w:rPr>
        <w:t>2</w:t>
      </w:r>
      <w:r w:rsidR="00D87CEF">
        <w:rPr>
          <w:rFonts w:ascii="Arial" w:hAnsi="Arial" w:cs="Arial"/>
          <w:bCs/>
          <w:sz w:val="20"/>
          <w:szCs w:val="20"/>
        </w:rPr>
        <w:t>3</w:t>
      </w:r>
      <w:r w:rsidR="00D87CEF">
        <w:rPr>
          <w:rFonts w:ascii="Arial" w:hAnsi="Arial" w:cs="Arial"/>
          <w:bCs/>
          <w:sz w:val="20"/>
          <w:szCs w:val="20"/>
          <w:vertAlign w:val="superscript"/>
        </w:rPr>
        <w:t>rd</w:t>
      </w:r>
      <w:r w:rsidRPr="00CA510E">
        <w:rPr>
          <w:rFonts w:ascii="Arial" w:hAnsi="Arial" w:cs="Arial"/>
          <w:bCs/>
          <w:sz w:val="20"/>
          <w:szCs w:val="20"/>
        </w:rPr>
        <w:t>, 2024</w:t>
      </w:r>
    </w:p>
    <w:p w14:paraId="1B203091" w14:textId="23FD3204" w:rsidR="0012595B" w:rsidRPr="00472C4E" w:rsidRDefault="00A7596D" w:rsidP="00472C4E">
      <w:pPr>
        <w:pStyle w:val="EX"/>
        <w:spacing w:after="180"/>
        <w:ind w:left="374" w:hanging="374"/>
        <w:jc w:val="both"/>
        <w:rPr>
          <w:rFonts w:ascii="Arial" w:hAnsi="Arial" w:cs="Arial"/>
          <w:bCs/>
          <w:sz w:val="20"/>
          <w:szCs w:val="20"/>
        </w:rPr>
      </w:pPr>
      <w:r>
        <w:rPr>
          <w:rFonts w:ascii="Arial" w:hAnsi="Arial" w:cs="Arial"/>
          <w:bCs/>
          <w:sz w:val="20"/>
          <w:szCs w:val="20"/>
        </w:rPr>
        <w:t>R4-24</w:t>
      </w:r>
      <w:r w:rsidR="0090048D">
        <w:rPr>
          <w:rFonts w:ascii="Arial" w:hAnsi="Arial" w:cs="Arial"/>
          <w:bCs/>
          <w:sz w:val="20"/>
          <w:szCs w:val="20"/>
        </w:rPr>
        <w:t>15338</w:t>
      </w:r>
      <w:r>
        <w:rPr>
          <w:rFonts w:ascii="Arial" w:hAnsi="Arial" w:cs="Arial"/>
          <w:bCs/>
          <w:sz w:val="20"/>
          <w:szCs w:val="20"/>
        </w:rPr>
        <w:t xml:space="preserve"> “</w:t>
      </w:r>
      <w:r w:rsidRPr="00A7596D">
        <w:rPr>
          <w:rFonts w:ascii="Arial" w:hAnsi="Arial" w:cs="Arial"/>
          <w:bCs/>
          <w:sz w:val="20"/>
          <w:szCs w:val="20"/>
        </w:rPr>
        <w:t>Motivation for UL Tx switching for FR1 intra-band non-contiguous UL CA in Rel-19</w:t>
      </w:r>
      <w:r>
        <w:rPr>
          <w:rFonts w:ascii="Arial" w:hAnsi="Arial" w:cs="Arial"/>
          <w:bCs/>
          <w:sz w:val="20"/>
          <w:szCs w:val="20"/>
        </w:rPr>
        <w:t>”, Hefei, China, October 14</w:t>
      </w:r>
      <w:r w:rsidRPr="00A7596D">
        <w:rPr>
          <w:rFonts w:ascii="Arial" w:hAnsi="Arial" w:cs="Arial"/>
          <w:bCs/>
          <w:sz w:val="20"/>
          <w:szCs w:val="20"/>
          <w:vertAlign w:val="superscript"/>
        </w:rPr>
        <w:t>th</w:t>
      </w:r>
      <w:r>
        <w:rPr>
          <w:rFonts w:ascii="Arial" w:hAnsi="Arial" w:cs="Arial"/>
          <w:bCs/>
          <w:sz w:val="20"/>
          <w:szCs w:val="20"/>
        </w:rPr>
        <w:t xml:space="preserve"> – 18</w:t>
      </w:r>
      <w:r w:rsidRPr="00A7596D">
        <w:rPr>
          <w:rFonts w:ascii="Arial" w:hAnsi="Arial" w:cs="Arial"/>
          <w:bCs/>
          <w:sz w:val="20"/>
          <w:szCs w:val="20"/>
          <w:vertAlign w:val="superscript"/>
        </w:rPr>
        <w:t>th</w:t>
      </w:r>
      <w:r>
        <w:rPr>
          <w:rFonts w:ascii="Arial" w:hAnsi="Arial" w:cs="Arial"/>
          <w:bCs/>
          <w:sz w:val="20"/>
          <w:szCs w:val="20"/>
        </w:rPr>
        <w:t>, 2024</w:t>
      </w:r>
    </w:p>
    <w:sectPr w:rsidR="0012595B" w:rsidRPr="00472C4E" w:rsidSect="00D975F5">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CE1DE6" w14:textId="77777777" w:rsidR="003A3752" w:rsidRDefault="003A3752">
      <w:r>
        <w:separator/>
      </w:r>
    </w:p>
  </w:endnote>
  <w:endnote w:type="continuationSeparator" w:id="0">
    <w:p w14:paraId="794337E4" w14:textId="77777777" w:rsidR="003A3752" w:rsidRDefault="003A3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EA926D" w14:textId="77777777" w:rsidR="003A3752" w:rsidRDefault="003A3752">
      <w:r>
        <w:separator/>
      </w:r>
    </w:p>
  </w:footnote>
  <w:footnote w:type="continuationSeparator" w:id="0">
    <w:p w14:paraId="59991688" w14:textId="77777777" w:rsidR="003A3752" w:rsidRDefault="003A3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1"/>
  </w:num>
  <w:num w:numId="5" w16cid:durableId="977950936">
    <w:abstractNumId w:val="3"/>
  </w:num>
  <w:num w:numId="6" w16cid:durableId="1850876431">
    <w:abstractNumId w:val="3"/>
  </w:num>
  <w:num w:numId="7" w16cid:durableId="428896142">
    <w:abstractNumId w:val="16"/>
  </w:num>
  <w:num w:numId="8" w16cid:durableId="2080327107">
    <w:abstractNumId w:val="6"/>
  </w:num>
  <w:num w:numId="9" w16cid:durableId="459036515">
    <w:abstractNumId w:val="17"/>
  </w:num>
  <w:num w:numId="10" w16cid:durableId="892421984">
    <w:abstractNumId w:val="7"/>
  </w:num>
  <w:num w:numId="11" w16cid:durableId="973826835">
    <w:abstractNumId w:val="8"/>
  </w:num>
  <w:num w:numId="12" w16cid:durableId="48696969">
    <w:abstractNumId w:val="25"/>
  </w:num>
  <w:num w:numId="13" w16cid:durableId="1621182100">
    <w:abstractNumId w:val="11"/>
  </w:num>
  <w:num w:numId="14" w16cid:durableId="681855791">
    <w:abstractNumId w:val="12"/>
  </w:num>
  <w:num w:numId="15" w16cid:durableId="1387412062">
    <w:abstractNumId w:val="18"/>
  </w:num>
  <w:num w:numId="16" w16cid:durableId="1707214678">
    <w:abstractNumId w:val="26"/>
  </w:num>
  <w:num w:numId="17" w16cid:durableId="1228883719">
    <w:abstractNumId w:val="15"/>
  </w:num>
  <w:num w:numId="18" w16cid:durableId="1736001611">
    <w:abstractNumId w:val="10"/>
  </w:num>
  <w:num w:numId="19" w16cid:durableId="1708026189">
    <w:abstractNumId w:val="24"/>
  </w:num>
  <w:num w:numId="20" w16cid:durableId="2134398882">
    <w:abstractNumId w:val="14"/>
  </w:num>
  <w:num w:numId="21" w16cid:durableId="1707292931">
    <w:abstractNumId w:val="13"/>
  </w:num>
  <w:num w:numId="22" w16cid:durableId="1872840210">
    <w:abstractNumId w:val="5"/>
  </w:num>
  <w:num w:numId="23" w16cid:durableId="988828275">
    <w:abstractNumId w:val="19"/>
  </w:num>
  <w:num w:numId="24" w16cid:durableId="639112823">
    <w:abstractNumId w:val="23"/>
  </w:num>
  <w:num w:numId="25" w16cid:durableId="1758358505">
    <w:abstractNumId w:val="4"/>
  </w:num>
  <w:num w:numId="26" w16cid:durableId="2108961271">
    <w:abstractNumId w:val="27"/>
  </w:num>
  <w:num w:numId="27" w16cid:durableId="1853451127">
    <w:abstractNumId w:val="22"/>
  </w:num>
  <w:num w:numId="28" w16cid:durableId="719016014">
    <w:abstractNumId w:val="20"/>
  </w:num>
  <w:num w:numId="29" w16cid:durableId="44761965">
    <w:abstractNumId w:val="9"/>
  </w:num>
  <w:num w:numId="30" w16cid:durableId="7507830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92"/>
    <w:rsid w:val="00004765"/>
    <w:rsid w:val="00005DB5"/>
    <w:rsid w:val="0000623D"/>
    <w:rsid w:val="00007ADC"/>
    <w:rsid w:val="00011CAD"/>
    <w:rsid w:val="0001328E"/>
    <w:rsid w:val="00014468"/>
    <w:rsid w:val="0001503B"/>
    <w:rsid w:val="00016134"/>
    <w:rsid w:val="0001757D"/>
    <w:rsid w:val="000206DB"/>
    <w:rsid w:val="00020EA3"/>
    <w:rsid w:val="0002182B"/>
    <w:rsid w:val="0002328A"/>
    <w:rsid w:val="00023B9C"/>
    <w:rsid w:val="00024434"/>
    <w:rsid w:val="0002488A"/>
    <w:rsid w:val="0002498B"/>
    <w:rsid w:val="00033397"/>
    <w:rsid w:val="00034BFA"/>
    <w:rsid w:val="000357CB"/>
    <w:rsid w:val="00035A90"/>
    <w:rsid w:val="000369F4"/>
    <w:rsid w:val="00037817"/>
    <w:rsid w:val="00040095"/>
    <w:rsid w:val="00040A8C"/>
    <w:rsid w:val="00040B9B"/>
    <w:rsid w:val="00041F2A"/>
    <w:rsid w:val="00042309"/>
    <w:rsid w:val="00042B4B"/>
    <w:rsid w:val="00042D32"/>
    <w:rsid w:val="000446B1"/>
    <w:rsid w:val="00044DE2"/>
    <w:rsid w:val="000453B8"/>
    <w:rsid w:val="00047271"/>
    <w:rsid w:val="00047F47"/>
    <w:rsid w:val="00050FF1"/>
    <w:rsid w:val="00051834"/>
    <w:rsid w:val="000521A4"/>
    <w:rsid w:val="000526D6"/>
    <w:rsid w:val="000544CF"/>
    <w:rsid w:val="00054529"/>
    <w:rsid w:val="00054A22"/>
    <w:rsid w:val="0005725D"/>
    <w:rsid w:val="000572D5"/>
    <w:rsid w:val="00057E41"/>
    <w:rsid w:val="000602CA"/>
    <w:rsid w:val="000607C9"/>
    <w:rsid w:val="00061B4F"/>
    <w:rsid w:val="00062023"/>
    <w:rsid w:val="000622AE"/>
    <w:rsid w:val="00065297"/>
    <w:rsid w:val="000655A6"/>
    <w:rsid w:val="00066C19"/>
    <w:rsid w:val="0006704A"/>
    <w:rsid w:val="0007035B"/>
    <w:rsid w:val="0007088F"/>
    <w:rsid w:val="0007289F"/>
    <w:rsid w:val="0007513F"/>
    <w:rsid w:val="00076DD0"/>
    <w:rsid w:val="00080512"/>
    <w:rsid w:val="00080638"/>
    <w:rsid w:val="0008297C"/>
    <w:rsid w:val="00084525"/>
    <w:rsid w:val="00084A90"/>
    <w:rsid w:val="00087378"/>
    <w:rsid w:val="000935D0"/>
    <w:rsid w:val="000940F1"/>
    <w:rsid w:val="00094B0E"/>
    <w:rsid w:val="00095EA8"/>
    <w:rsid w:val="000A0829"/>
    <w:rsid w:val="000A0A4F"/>
    <w:rsid w:val="000A0C3B"/>
    <w:rsid w:val="000A150F"/>
    <w:rsid w:val="000A365D"/>
    <w:rsid w:val="000A4202"/>
    <w:rsid w:val="000A4877"/>
    <w:rsid w:val="000A608C"/>
    <w:rsid w:val="000A68F3"/>
    <w:rsid w:val="000A7399"/>
    <w:rsid w:val="000A7DF9"/>
    <w:rsid w:val="000B6018"/>
    <w:rsid w:val="000B61FB"/>
    <w:rsid w:val="000B6AF7"/>
    <w:rsid w:val="000C16C8"/>
    <w:rsid w:val="000C1729"/>
    <w:rsid w:val="000C19D9"/>
    <w:rsid w:val="000C47C3"/>
    <w:rsid w:val="000C54D8"/>
    <w:rsid w:val="000C59CD"/>
    <w:rsid w:val="000C60A3"/>
    <w:rsid w:val="000C71D9"/>
    <w:rsid w:val="000D0571"/>
    <w:rsid w:val="000D0FD8"/>
    <w:rsid w:val="000D1DD8"/>
    <w:rsid w:val="000D2743"/>
    <w:rsid w:val="000D50E3"/>
    <w:rsid w:val="000D57F3"/>
    <w:rsid w:val="000D58AB"/>
    <w:rsid w:val="000D6A52"/>
    <w:rsid w:val="000D6C55"/>
    <w:rsid w:val="000D7301"/>
    <w:rsid w:val="000E162D"/>
    <w:rsid w:val="000E1A37"/>
    <w:rsid w:val="000E1CAF"/>
    <w:rsid w:val="000E2238"/>
    <w:rsid w:val="000E4B1E"/>
    <w:rsid w:val="000E5476"/>
    <w:rsid w:val="000E61C4"/>
    <w:rsid w:val="000E6339"/>
    <w:rsid w:val="000E6A30"/>
    <w:rsid w:val="000E751D"/>
    <w:rsid w:val="000F3453"/>
    <w:rsid w:val="000F42FB"/>
    <w:rsid w:val="000F5EA9"/>
    <w:rsid w:val="00102958"/>
    <w:rsid w:val="001041BB"/>
    <w:rsid w:val="0010474C"/>
    <w:rsid w:val="00104BC6"/>
    <w:rsid w:val="00106392"/>
    <w:rsid w:val="00106A77"/>
    <w:rsid w:val="001104F4"/>
    <w:rsid w:val="00110A8D"/>
    <w:rsid w:val="00111EDD"/>
    <w:rsid w:val="00112B6A"/>
    <w:rsid w:val="00113A07"/>
    <w:rsid w:val="001140B8"/>
    <w:rsid w:val="00114E2C"/>
    <w:rsid w:val="00120C7E"/>
    <w:rsid w:val="00121103"/>
    <w:rsid w:val="00122D29"/>
    <w:rsid w:val="0012595B"/>
    <w:rsid w:val="00126615"/>
    <w:rsid w:val="00133525"/>
    <w:rsid w:val="00137EE2"/>
    <w:rsid w:val="00141326"/>
    <w:rsid w:val="00142C17"/>
    <w:rsid w:val="00143126"/>
    <w:rsid w:val="001441A8"/>
    <w:rsid w:val="00144D61"/>
    <w:rsid w:val="00144D7A"/>
    <w:rsid w:val="00146540"/>
    <w:rsid w:val="00146BF3"/>
    <w:rsid w:val="0014707B"/>
    <w:rsid w:val="001476E2"/>
    <w:rsid w:val="001500E5"/>
    <w:rsid w:val="001507CE"/>
    <w:rsid w:val="00150FB2"/>
    <w:rsid w:val="001553DE"/>
    <w:rsid w:val="001578E2"/>
    <w:rsid w:val="00160A04"/>
    <w:rsid w:val="00162B22"/>
    <w:rsid w:val="00162BD3"/>
    <w:rsid w:val="001655BB"/>
    <w:rsid w:val="0016611C"/>
    <w:rsid w:val="00166B5C"/>
    <w:rsid w:val="00166F82"/>
    <w:rsid w:val="00171090"/>
    <w:rsid w:val="00171900"/>
    <w:rsid w:val="00173669"/>
    <w:rsid w:val="0017381F"/>
    <w:rsid w:val="0017591E"/>
    <w:rsid w:val="00175D32"/>
    <w:rsid w:val="00176183"/>
    <w:rsid w:val="00177ADC"/>
    <w:rsid w:val="0018025B"/>
    <w:rsid w:val="00181118"/>
    <w:rsid w:val="0018140C"/>
    <w:rsid w:val="001815E8"/>
    <w:rsid w:val="001825F0"/>
    <w:rsid w:val="00183720"/>
    <w:rsid w:val="001841B1"/>
    <w:rsid w:val="00184AB9"/>
    <w:rsid w:val="0018540A"/>
    <w:rsid w:val="001856D4"/>
    <w:rsid w:val="00185E52"/>
    <w:rsid w:val="001938B6"/>
    <w:rsid w:val="00193D27"/>
    <w:rsid w:val="00195133"/>
    <w:rsid w:val="00197470"/>
    <w:rsid w:val="00197E77"/>
    <w:rsid w:val="001A1551"/>
    <w:rsid w:val="001A2CF1"/>
    <w:rsid w:val="001A3995"/>
    <w:rsid w:val="001A410D"/>
    <w:rsid w:val="001A4A5F"/>
    <w:rsid w:val="001A4C42"/>
    <w:rsid w:val="001A6005"/>
    <w:rsid w:val="001A646C"/>
    <w:rsid w:val="001A7202"/>
    <w:rsid w:val="001A7772"/>
    <w:rsid w:val="001B2D20"/>
    <w:rsid w:val="001B3DBF"/>
    <w:rsid w:val="001B7371"/>
    <w:rsid w:val="001B7504"/>
    <w:rsid w:val="001C21C3"/>
    <w:rsid w:val="001C62F8"/>
    <w:rsid w:val="001C65A6"/>
    <w:rsid w:val="001D02C2"/>
    <w:rsid w:val="001D1470"/>
    <w:rsid w:val="001D2827"/>
    <w:rsid w:val="001D2A82"/>
    <w:rsid w:val="001D5CA8"/>
    <w:rsid w:val="001D5CFB"/>
    <w:rsid w:val="001E08B8"/>
    <w:rsid w:val="001E145D"/>
    <w:rsid w:val="001E3074"/>
    <w:rsid w:val="001E3A12"/>
    <w:rsid w:val="001E5433"/>
    <w:rsid w:val="001E6049"/>
    <w:rsid w:val="001F0755"/>
    <w:rsid w:val="001F0C1D"/>
    <w:rsid w:val="001F1132"/>
    <w:rsid w:val="001F168B"/>
    <w:rsid w:val="001F4BE5"/>
    <w:rsid w:val="001F59D5"/>
    <w:rsid w:val="001F6315"/>
    <w:rsid w:val="001F6FF3"/>
    <w:rsid w:val="002006FE"/>
    <w:rsid w:val="00203D18"/>
    <w:rsid w:val="00204648"/>
    <w:rsid w:val="00205934"/>
    <w:rsid w:val="002077B7"/>
    <w:rsid w:val="00210031"/>
    <w:rsid w:val="0021021D"/>
    <w:rsid w:val="002107B1"/>
    <w:rsid w:val="002115E7"/>
    <w:rsid w:val="002121FB"/>
    <w:rsid w:val="00213295"/>
    <w:rsid w:val="00215B33"/>
    <w:rsid w:val="00215C07"/>
    <w:rsid w:val="0021744E"/>
    <w:rsid w:val="00217AE3"/>
    <w:rsid w:val="00217F77"/>
    <w:rsid w:val="0022541F"/>
    <w:rsid w:val="00226E52"/>
    <w:rsid w:val="00227765"/>
    <w:rsid w:val="00231349"/>
    <w:rsid w:val="002330A3"/>
    <w:rsid w:val="002334F0"/>
    <w:rsid w:val="00233650"/>
    <w:rsid w:val="002347A2"/>
    <w:rsid w:val="00234D70"/>
    <w:rsid w:val="00235F7A"/>
    <w:rsid w:val="002363C0"/>
    <w:rsid w:val="00242B97"/>
    <w:rsid w:val="0024384F"/>
    <w:rsid w:val="002450A4"/>
    <w:rsid w:val="002452AE"/>
    <w:rsid w:val="00245DFB"/>
    <w:rsid w:val="00247926"/>
    <w:rsid w:val="002504F0"/>
    <w:rsid w:val="00256995"/>
    <w:rsid w:val="00257410"/>
    <w:rsid w:val="002608DE"/>
    <w:rsid w:val="00261B7C"/>
    <w:rsid w:val="002627B4"/>
    <w:rsid w:val="002637C2"/>
    <w:rsid w:val="0026424E"/>
    <w:rsid w:val="0026644D"/>
    <w:rsid w:val="00266DC0"/>
    <w:rsid w:val="002675F0"/>
    <w:rsid w:val="00271B31"/>
    <w:rsid w:val="00271FFB"/>
    <w:rsid w:val="002726BC"/>
    <w:rsid w:val="00274A90"/>
    <w:rsid w:val="00275D60"/>
    <w:rsid w:val="00276C70"/>
    <w:rsid w:val="00276EE4"/>
    <w:rsid w:val="00277172"/>
    <w:rsid w:val="00277585"/>
    <w:rsid w:val="00277626"/>
    <w:rsid w:val="0028039F"/>
    <w:rsid w:val="0028051A"/>
    <w:rsid w:val="0028193A"/>
    <w:rsid w:val="00284236"/>
    <w:rsid w:val="0028485D"/>
    <w:rsid w:val="00286917"/>
    <w:rsid w:val="0029079A"/>
    <w:rsid w:val="00291A2A"/>
    <w:rsid w:val="00295527"/>
    <w:rsid w:val="00296065"/>
    <w:rsid w:val="00296836"/>
    <w:rsid w:val="002A040F"/>
    <w:rsid w:val="002A07F2"/>
    <w:rsid w:val="002A195A"/>
    <w:rsid w:val="002A2A03"/>
    <w:rsid w:val="002A51BE"/>
    <w:rsid w:val="002A5F8F"/>
    <w:rsid w:val="002A6542"/>
    <w:rsid w:val="002A760E"/>
    <w:rsid w:val="002A797D"/>
    <w:rsid w:val="002B05B9"/>
    <w:rsid w:val="002B0805"/>
    <w:rsid w:val="002B0DFD"/>
    <w:rsid w:val="002B11CC"/>
    <w:rsid w:val="002B183B"/>
    <w:rsid w:val="002B1932"/>
    <w:rsid w:val="002B194A"/>
    <w:rsid w:val="002B1B99"/>
    <w:rsid w:val="002B20B0"/>
    <w:rsid w:val="002B36A1"/>
    <w:rsid w:val="002B3A19"/>
    <w:rsid w:val="002B4644"/>
    <w:rsid w:val="002B4DBD"/>
    <w:rsid w:val="002B592F"/>
    <w:rsid w:val="002B6339"/>
    <w:rsid w:val="002B6EF4"/>
    <w:rsid w:val="002C011F"/>
    <w:rsid w:val="002C029B"/>
    <w:rsid w:val="002C67E4"/>
    <w:rsid w:val="002C6BC6"/>
    <w:rsid w:val="002C79FA"/>
    <w:rsid w:val="002D2519"/>
    <w:rsid w:val="002D2B19"/>
    <w:rsid w:val="002D3298"/>
    <w:rsid w:val="002D405E"/>
    <w:rsid w:val="002D5BFE"/>
    <w:rsid w:val="002D6024"/>
    <w:rsid w:val="002D61E3"/>
    <w:rsid w:val="002E00EE"/>
    <w:rsid w:val="002E3322"/>
    <w:rsid w:val="002E4D11"/>
    <w:rsid w:val="002E7499"/>
    <w:rsid w:val="002E75F6"/>
    <w:rsid w:val="002F02FE"/>
    <w:rsid w:val="002F1ABA"/>
    <w:rsid w:val="002F4933"/>
    <w:rsid w:val="002F4F9E"/>
    <w:rsid w:val="002F7D49"/>
    <w:rsid w:val="00300CDB"/>
    <w:rsid w:val="00302B10"/>
    <w:rsid w:val="00302C30"/>
    <w:rsid w:val="0030430D"/>
    <w:rsid w:val="0030532E"/>
    <w:rsid w:val="00311180"/>
    <w:rsid w:val="003116BE"/>
    <w:rsid w:val="00313E2F"/>
    <w:rsid w:val="00314818"/>
    <w:rsid w:val="003172DC"/>
    <w:rsid w:val="003177CF"/>
    <w:rsid w:val="00322C5B"/>
    <w:rsid w:val="00324C31"/>
    <w:rsid w:val="00325108"/>
    <w:rsid w:val="00326BE2"/>
    <w:rsid w:val="00327934"/>
    <w:rsid w:val="00327D7A"/>
    <w:rsid w:val="003304FE"/>
    <w:rsid w:val="003317C8"/>
    <w:rsid w:val="003325B7"/>
    <w:rsid w:val="00335F34"/>
    <w:rsid w:val="00336EEA"/>
    <w:rsid w:val="0034052F"/>
    <w:rsid w:val="003438E2"/>
    <w:rsid w:val="0035086E"/>
    <w:rsid w:val="00350950"/>
    <w:rsid w:val="0035312E"/>
    <w:rsid w:val="0035389E"/>
    <w:rsid w:val="0035462D"/>
    <w:rsid w:val="00354C53"/>
    <w:rsid w:val="00360A06"/>
    <w:rsid w:val="00360AA0"/>
    <w:rsid w:val="00360BBA"/>
    <w:rsid w:val="00372A21"/>
    <w:rsid w:val="00375448"/>
    <w:rsid w:val="003765B8"/>
    <w:rsid w:val="00376B6D"/>
    <w:rsid w:val="003772E9"/>
    <w:rsid w:val="003802FA"/>
    <w:rsid w:val="00381DCA"/>
    <w:rsid w:val="00382642"/>
    <w:rsid w:val="00383036"/>
    <w:rsid w:val="00385F91"/>
    <w:rsid w:val="003865D1"/>
    <w:rsid w:val="0038672E"/>
    <w:rsid w:val="003869F7"/>
    <w:rsid w:val="0038702E"/>
    <w:rsid w:val="00390FFB"/>
    <w:rsid w:val="003929C6"/>
    <w:rsid w:val="00392A3A"/>
    <w:rsid w:val="003931FE"/>
    <w:rsid w:val="003946F3"/>
    <w:rsid w:val="0039506D"/>
    <w:rsid w:val="0039590F"/>
    <w:rsid w:val="0039702E"/>
    <w:rsid w:val="003A0483"/>
    <w:rsid w:val="003A07CA"/>
    <w:rsid w:val="003A07DD"/>
    <w:rsid w:val="003A0AD2"/>
    <w:rsid w:val="003A0C0F"/>
    <w:rsid w:val="003A3752"/>
    <w:rsid w:val="003A51C7"/>
    <w:rsid w:val="003A580B"/>
    <w:rsid w:val="003A66C6"/>
    <w:rsid w:val="003B14E6"/>
    <w:rsid w:val="003B2900"/>
    <w:rsid w:val="003B468C"/>
    <w:rsid w:val="003B56B1"/>
    <w:rsid w:val="003B5C14"/>
    <w:rsid w:val="003B5CFC"/>
    <w:rsid w:val="003B61AB"/>
    <w:rsid w:val="003B75F3"/>
    <w:rsid w:val="003C1669"/>
    <w:rsid w:val="003C33DC"/>
    <w:rsid w:val="003C3729"/>
    <w:rsid w:val="003C3971"/>
    <w:rsid w:val="003C430A"/>
    <w:rsid w:val="003C4B24"/>
    <w:rsid w:val="003C51AE"/>
    <w:rsid w:val="003C5468"/>
    <w:rsid w:val="003C6A8C"/>
    <w:rsid w:val="003C7E3B"/>
    <w:rsid w:val="003D0F89"/>
    <w:rsid w:val="003D2EF2"/>
    <w:rsid w:val="003D4099"/>
    <w:rsid w:val="003D42C2"/>
    <w:rsid w:val="003D466B"/>
    <w:rsid w:val="003D7CB2"/>
    <w:rsid w:val="003E1D3F"/>
    <w:rsid w:val="003E29F3"/>
    <w:rsid w:val="003E3380"/>
    <w:rsid w:val="003E3B62"/>
    <w:rsid w:val="003E4798"/>
    <w:rsid w:val="003E6524"/>
    <w:rsid w:val="003E7424"/>
    <w:rsid w:val="003E7753"/>
    <w:rsid w:val="003E7ED9"/>
    <w:rsid w:val="003F07FB"/>
    <w:rsid w:val="003F0B00"/>
    <w:rsid w:val="003F0C6B"/>
    <w:rsid w:val="003F1DE5"/>
    <w:rsid w:val="003F275D"/>
    <w:rsid w:val="003F27E7"/>
    <w:rsid w:val="003F474B"/>
    <w:rsid w:val="003F6ACE"/>
    <w:rsid w:val="003F6DEF"/>
    <w:rsid w:val="003F744F"/>
    <w:rsid w:val="003F760D"/>
    <w:rsid w:val="003F775D"/>
    <w:rsid w:val="00400684"/>
    <w:rsid w:val="004007D9"/>
    <w:rsid w:val="00401944"/>
    <w:rsid w:val="00401FA4"/>
    <w:rsid w:val="0040205D"/>
    <w:rsid w:val="00402A52"/>
    <w:rsid w:val="00403FF3"/>
    <w:rsid w:val="0040569B"/>
    <w:rsid w:val="0040649B"/>
    <w:rsid w:val="00407E20"/>
    <w:rsid w:val="00415661"/>
    <w:rsid w:val="004166A1"/>
    <w:rsid w:val="00416DC9"/>
    <w:rsid w:val="0041733B"/>
    <w:rsid w:val="00417EA8"/>
    <w:rsid w:val="00420E7C"/>
    <w:rsid w:val="00420FB8"/>
    <w:rsid w:val="00423334"/>
    <w:rsid w:val="00426737"/>
    <w:rsid w:val="0043242D"/>
    <w:rsid w:val="004345EC"/>
    <w:rsid w:val="00440181"/>
    <w:rsid w:val="00445A42"/>
    <w:rsid w:val="00447E0C"/>
    <w:rsid w:val="00451EFE"/>
    <w:rsid w:val="00452E79"/>
    <w:rsid w:val="004538F1"/>
    <w:rsid w:val="00453FBB"/>
    <w:rsid w:val="00453FE3"/>
    <w:rsid w:val="004540A9"/>
    <w:rsid w:val="00454293"/>
    <w:rsid w:val="0045717A"/>
    <w:rsid w:val="00463240"/>
    <w:rsid w:val="00463324"/>
    <w:rsid w:val="0046561C"/>
    <w:rsid w:val="004667DE"/>
    <w:rsid w:val="00470E29"/>
    <w:rsid w:val="004728B7"/>
    <w:rsid w:val="00472964"/>
    <w:rsid w:val="00472B98"/>
    <w:rsid w:val="00472C4E"/>
    <w:rsid w:val="00473C1A"/>
    <w:rsid w:val="00474C44"/>
    <w:rsid w:val="0047564A"/>
    <w:rsid w:val="00475AC6"/>
    <w:rsid w:val="00476106"/>
    <w:rsid w:val="004768DA"/>
    <w:rsid w:val="004812DD"/>
    <w:rsid w:val="004819D5"/>
    <w:rsid w:val="00481A7B"/>
    <w:rsid w:val="00482501"/>
    <w:rsid w:val="004826A9"/>
    <w:rsid w:val="00483D52"/>
    <w:rsid w:val="004868AD"/>
    <w:rsid w:val="00487112"/>
    <w:rsid w:val="00493A70"/>
    <w:rsid w:val="00495736"/>
    <w:rsid w:val="00496BA8"/>
    <w:rsid w:val="004A1B75"/>
    <w:rsid w:val="004A1C51"/>
    <w:rsid w:val="004A3D27"/>
    <w:rsid w:val="004A48FA"/>
    <w:rsid w:val="004A5136"/>
    <w:rsid w:val="004A5DB3"/>
    <w:rsid w:val="004A6E04"/>
    <w:rsid w:val="004B3447"/>
    <w:rsid w:val="004B4E61"/>
    <w:rsid w:val="004B5861"/>
    <w:rsid w:val="004B5C7F"/>
    <w:rsid w:val="004C0E4C"/>
    <w:rsid w:val="004C15E6"/>
    <w:rsid w:val="004C1601"/>
    <w:rsid w:val="004C1615"/>
    <w:rsid w:val="004C2676"/>
    <w:rsid w:val="004C2761"/>
    <w:rsid w:val="004C6022"/>
    <w:rsid w:val="004C6974"/>
    <w:rsid w:val="004C72F9"/>
    <w:rsid w:val="004C7C52"/>
    <w:rsid w:val="004D0905"/>
    <w:rsid w:val="004D1389"/>
    <w:rsid w:val="004D28B5"/>
    <w:rsid w:val="004D2D6F"/>
    <w:rsid w:val="004D3578"/>
    <w:rsid w:val="004D35DC"/>
    <w:rsid w:val="004D412E"/>
    <w:rsid w:val="004D4395"/>
    <w:rsid w:val="004D4C55"/>
    <w:rsid w:val="004D5ADE"/>
    <w:rsid w:val="004D5EB9"/>
    <w:rsid w:val="004D7D9D"/>
    <w:rsid w:val="004E0FCD"/>
    <w:rsid w:val="004E213A"/>
    <w:rsid w:val="004E2762"/>
    <w:rsid w:val="004E4D20"/>
    <w:rsid w:val="004E6A6B"/>
    <w:rsid w:val="004E77CF"/>
    <w:rsid w:val="004E7F91"/>
    <w:rsid w:val="004F0988"/>
    <w:rsid w:val="004F1ED6"/>
    <w:rsid w:val="004F233B"/>
    <w:rsid w:val="004F3340"/>
    <w:rsid w:val="004F38A3"/>
    <w:rsid w:val="004F3E3D"/>
    <w:rsid w:val="004F58D8"/>
    <w:rsid w:val="004F7D81"/>
    <w:rsid w:val="004F7DEF"/>
    <w:rsid w:val="004F7FAD"/>
    <w:rsid w:val="00500589"/>
    <w:rsid w:val="0050162A"/>
    <w:rsid w:val="00502D4C"/>
    <w:rsid w:val="00502D9B"/>
    <w:rsid w:val="00503413"/>
    <w:rsid w:val="005035B9"/>
    <w:rsid w:val="005038CA"/>
    <w:rsid w:val="00504DB3"/>
    <w:rsid w:val="00505504"/>
    <w:rsid w:val="00506C9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0BAC"/>
    <w:rsid w:val="00531036"/>
    <w:rsid w:val="005310D2"/>
    <w:rsid w:val="00531552"/>
    <w:rsid w:val="0053388B"/>
    <w:rsid w:val="00534BE5"/>
    <w:rsid w:val="00534BF4"/>
    <w:rsid w:val="00535773"/>
    <w:rsid w:val="0054046B"/>
    <w:rsid w:val="00541809"/>
    <w:rsid w:val="00543E6C"/>
    <w:rsid w:val="00545F02"/>
    <w:rsid w:val="0055291B"/>
    <w:rsid w:val="00556D61"/>
    <w:rsid w:val="00560892"/>
    <w:rsid w:val="00563714"/>
    <w:rsid w:val="00565087"/>
    <w:rsid w:val="00565648"/>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52D"/>
    <w:rsid w:val="005A283F"/>
    <w:rsid w:val="005A3005"/>
    <w:rsid w:val="005A4921"/>
    <w:rsid w:val="005A5986"/>
    <w:rsid w:val="005A656C"/>
    <w:rsid w:val="005B177F"/>
    <w:rsid w:val="005B2D59"/>
    <w:rsid w:val="005B363E"/>
    <w:rsid w:val="005B3A6D"/>
    <w:rsid w:val="005B74DA"/>
    <w:rsid w:val="005C2501"/>
    <w:rsid w:val="005C25FF"/>
    <w:rsid w:val="005C43AC"/>
    <w:rsid w:val="005C6E42"/>
    <w:rsid w:val="005C7266"/>
    <w:rsid w:val="005C7420"/>
    <w:rsid w:val="005D0C87"/>
    <w:rsid w:val="005D2254"/>
    <w:rsid w:val="005D2BC8"/>
    <w:rsid w:val="005D2E01"/>
    <w:rsid w:val="005D4FFE"/>
    <w:rsid w:val="005D7526"/>
    <w:rsid w:val="005E1A8B"/>
    <w:rsid w:val="005E2982"/>
    <w:rsid w:val="005E318B"/>
    <w:rsid w:val="005E5A28"/>
    <w:rsid w:val="005E6516"/>
    <w:rsid w:val="005E66AC"/>
    <w:rsid w:val="005E69AE"/>
    <w:rsid w:val="005E71D6"/>
    <w:rsid w:val="005E7D87"/>
    <w:rsid w:val="005F23E7"/>
    <w:rsid w:val="005F28DB"/>
    <w:rsid w:val="005F381B"/>
    <w:rsid w:val="005F393C"/>
    <w:rsid w:val="005F39D5"/>
    <w:rsid w:val="005F7052"/>
    <w:rsid w:val="00600854"/>
    <w:rsid w:val="0060129F"/>
    <w:rsid w:val="00601677"/>
    <w:rsid w:val="006024D8"/>
    <w:rsid w:val="0060286A"/>
    <w:rsid w:val="00602AEA"/>
    <w:rsid w:val="0060438D"/>
    <w:rsid w:val="00606C90"/>
    <w:rsid w:val="006073EA"/>
    <w:rsid w:val="00607E3C"/>
    <w:rsid w:val="00614FDF"/>
    <w:rsid w:val="006151BD"/>
    <w:rsid w:val="00615F3B"/>
    <w:rsid w:val="00616A61"/>
    <w:rsid w:val="00620C82"/>
    <w:rsid w:val="006234AA"/>
    <w:rsid w:val="00623E06"/>
    <w:rsid w:val="00623F3E"/>
    <w:rsid w:val="00624566"/>
    <w:rsid w:val="006246A7"/>
    <w:rsid w:val="00625205"/>
    <w:rsid w:val="0062595A"/>
    <w:rsid w:val="006261A9"/>
    <w:rsid w:val="006301E8"/>
    <w:rsid w:val="0063355E"/>
    <w:rsid w:val="00634443"/>
    <w:rsid w:val="00634544"/>
    <w:rsid w:val="0063543D"/>
    <w:rsid w:val="0064068B"/>
    <w:rsid w:val="0064163A"/>
    <w:rsid w:val="006423F8"/>
    <w:rsid w:val="006445E1"/>
    <w:rsid w:val="00646F27"/>
    <w:rsid w:val="00647114"/>
    <w:rsid w:val="006508C7"/>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58B1"/>
    <w:rsid w:val="0068290F"/>
    <w:rsid w:val="006847C4"/>
    <w:rsid w:val="0068530E"/>
    <w:rsid w:val="00685A25"/>
    <w:rsid w:val="00687D57"/>
    <w:rsid w:val="0069429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4A2D"/>
    <w:rsid w:val="006F5C12"/>
    <w:rsid w:val="006F5CB7"/>
    <w:rsid w:val="00701A75"/>
    <w:rsid w:val="0070297F"/>
    <w:rsid w:val="00703FDB"/>
    <w:rsid w:val="00704EDC"/>
    <w:rsid w:val="0070556D"/>
    <w:rsid w:val="0070610A"/>
    <w:rsid w:val="00706226"/>
    <w:rsid w:val="00707E4B"/>
    <w:rsid w:val="00711CF9"/>
    <w:rsid w:val="00712430"/>
    <w:rsid w:val="00713C44"/>
    <w:rsid w:val="0071674C"/>
    <w:rsid w:val="00722D62"/>
    <w:rsid w:val="0072712F"/>
    <w:rsid w:val="00727A5D"/>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337"/>
    <w:rsid w:val="0076084E"/>
    <w:rsid w:val="00761355"/>
    <w:rsid w:val="00761CC0"/>
    <w:rsid w:val="00762B40"/>
    <w:rsid w:val="00762CEB"/>
    <w:rsid w:val="00763321"/>
    <w:rsid w:val="00764753"/>
    <w:rsid w:val="00764C7C"/>
    <w:rsid w:val="00765AB3"/>
    <w:rsid w:val="00765B58"/>
    <w:rsid w:val="00766D31"/>
    <w:rsid w:val="00766EB2"/>
    <w:rsid w:val="007725A2"/>
    <w:rsid w:val="00772955"/>
    <w:rsid w:val="00772FB5"/>
    <w:rsid w:val="00774DA4"/>
    <w:rsid w:val="007756A0"/>
    <w:rsid w:val="00776634"/>
    <w:rsid w:val="00776849"/>
    <w:rsid w:val="00777975"/>
    <w:rsid w:val="007809E5"/>
    <w:rsid w:val="00781F0F"/>
    <w:rsid w:val="007833DA"/>
    <w:rsid w:val="00787683"/>
    <w:rsid w:val="007921F5"/>
    <w:rsid w:val="00792E76"/>
    <w:rsid w:val="0079544F"/>
    <w:rsid w:val="007955FC"/>
    <w:rsid w:val="007A1885"/>
    <w:rsid w:val="007A57AC"/>
    <w:rsid w:val="007A6283"/>
    <w:rsid w:val="007A7C22"/>
    <w:rsid w:val="007A7EA5"/>
    <w:rsid w:val="007B500E"/>
    <w:rsid w:val="007B600E"/>
    <w:rsid w:val="007B6162"/>
    <w:rsid w:val="007C1C86"/>
    <w:rsid w:val="007C5CD8"/>
    <w:rsid w:val="007C634B"/>
    <w:rsid w:val="007D12CB"/>
    <w:rsid w:val="007D1CA7"/>
    <w:rsid w:val="007D1E99"/>
    <w:rsid w:val="007D5A30"/>
    <w:rsid w:val="007D7EEC"/>
    <w:rsid w:val="007E0113"/>
    <w:rsid w:val="007E1E1E"/>
    <w:rsid w:val="007E20A7"/>
    <w:rsid w:val="007E27DA"/>
    <w:rsid w:val="007E2B43"/>
    <w:rsid w:val="007E33C8"/>
    <w:rsid w:val="007E3BEE"/>
    <w:rsid w:val="007E3F11"/>
    <w:rsid w:val="007E448B"/>
    <w:rsid w:val="007E4845"/>
    <w:rsid w:val="007E5AE9"/>
    <w:rsid w:val="007E5F0D"/>
    <w:rsid w:val="007E6354"/>
    <w:rsid w:val="007E6747"/>
    <w:rsid w:val="007E7CB6"/>
    <w:rsid w:val="007F0F4A"/>
    <w:rsid w:val="007F1CFA"/>
    <w:rsid w:val="007F2042"/>
    <w:rsid w:val="007F221E"/>
    <w:rsid w:val="007F5061"/>
    <w:rsid w:val="007F57DE"/>
    <w:rsid w:val="007F5D46"/>
    <w:rsid w:val="00802493"/>
    <w:rsid w:val="008028A4"/>
    <w:rsid w:val="00802B8D"/>
    <w:rsid w:val="00802C23"/>
    <w:rsid w:val="00805884"/>
    <w:rsid w:val="00806E29"/>
    <w:rsid w:val="00811DA5"/>
    <w:rsid w:val="00814664"/>
    <w:rsid w:val="00814EEB"/>
    <w:rsid w:val="008151F1"/>
    <w:rsid w:val="00815455"/>
    <w:rsid w:val="00816547"/>
    <w:rsid w:val="00816E79"/>
    <w:rsid w:val="0081783A"/>
    <w:rsid w:val="00817A65"/>
    <w:rsid w:val="00820B25"/>
    <w:rsid w:val="00820E2A"/>
    <w:rsid w:val="00823EC7"/>
    <w:rsid w:val="008246AB"/>
    <w:rsid w:val="0082493D"/>
    <w:rsid w:val="00825EDF"/>
    <w:rsid w:val="00830747"/>
    <w:rsid w:val="00832AA2"/>
    <w:rsid w:val="0083481A"/>
    <w:rsid w:val="0083755B"/>
    <w:rsid w:val="00840DCA"/>
    <w:rsid w:val="008454C5"/>
    <w:rsid w:val="00850AF5"/>
    <w:rsid w:val="00850D6A"/>
    <w:rsid w:val="00850FBE"/>
    <w:rsid w:val="00851681"/>
    <w:rsid w:val="0085227D"/>
    <w:rsid w:val="00852D30"/>
    <w:rsid w:val="00854543"/>
    <w:rsid w:val="00854C13"/>
    <w:rsid w:val="0085666A"/>
    <w:rsid w:val="00856EF6"/>
    <w:rsid w:val="00863A8A"/>
    <w:rsid w:val="00864ED2"/>
    <w:rsid w:val="008677DA"/>
    <w:rsid w:val="00870EB0"/>
    <w:rsid w:val="008760D1"/>
    <w:rsid w:val="008768CA"/>
    <w:rsid w:val="0087770B"/>
    <w:rsid w:val="00877A40"/>
    <w:rsid w:val="0088066C"/>
    <w:rsid w:val="00880716"/>
    <w:rsid w:val="00880889"/>
    <w:rsid w:val="00881ECF"/>
    <w:rsid w:val="00882CF3"/>
    <w:rsid w:val="00884355"/>
    <w:rsid w:val="008855B9"/>
    <w:rsid w:val="00885A3C"/>
    <w:rsid w:val="00886F35"/>
    <w:rsid w:val="0088727A"/>
    <w:rsid w:val="0088795D"/>
    <w:rsid w:val="00887BEA"/>
    <w:rsid w:val="0089062C"/>
    <w:rsid w:val="0089137B"/>
    <w:rsid w:val="00893E1A"/>
    <w:rsid w:val="00894406"/>
    <w:rsid w:val="00895E23"/>
    <w:rsid w:val="008979DE"/>
    <w:rsid w:val="00897B5F"/>
    <w:rsid w:val="008A07D9"/>
    <w:rsid w:val="008A3527"/>
    <w:rsid w:val="008A5F18"/>
    <w:rsid w:val="008A78FF"/>
    <w:rsid w:val="008A7C26"/>
    <w:rsid w:val="008B1D62"/>
    <w:rsid w:val="008B4249"/>
    <w:rsid w:val="008B7C99"/>
    <w:rsid w:val="008C08B8"/>
    <w:rsid w:val="008C103C"/>
    <w:rsid w:val="008C2245"/>
    <w:rsid w:val="008C384C"/>
    <w:rsid w:val="008C385C"/>
    <w:rsid w:val="008C494B"/>
    <w:rsid w:val="008C5916"/>
    <w:rsid w:val="008C5A52"/>
    <w:rsid w:val="008C64E3"/>
    <w:rsid w:val="008C6B21"/>
    <w:rsid w:val="008C6C35"/>
    <w:rsid w:val="008D0A3B"/>
    <w:rsid w:val="008D4262"/>
    <w:rsid w:val="008D4F18"/>
    <w:rsid w:val="008D55A3"/>
    <w:rsid w:val="008D7038"/>
    <w:rsid w:val="008D74FE"/>
    <w:rsid w:val="008D7883"/>
    <w:rsid w:val="008D7C1F"/>
    <w:rsid w:val="008E2413"/>
    <w:rsid w:val="008E290E"/>
    <w:rsid w:val="008E75A4"/>
    <w:rsid w:val="008E7986"/>
    <w:rsid w:val="008E7B99"/>
    <w:rsid w:val="008F0C7D"/>
    <w:rsid w:val="008F29A8"/>
    <w:rsid w:val="008F5522"/>
    <w:rsid w:val="008F565C"/>
    <w:rsid w:val="008F626A"/>
    <w:rsid w:val="008F6DC9"/>
    <w:rsid w:val="0090048D"/>
    <w:rsid w:val="0090271F"/>
    <w:rsid w:val="00902846"/>
    <w:rsid w:val="00902E23"/>
    <w:rsid w:val="00907543"/>
    <w:rsid w:val="0091018D"/>
    <w:rsid w:val="009114D7"/>
    <w:rsid w:val="00911898"/>
    <w:rsid w:val="0091348E"/>
    <w:rsid w:val="009142F5"/>
    <w:rsid w:val="0091435F"/>
    <w:rsid w:val="00914B4B"/>
    <w:rsid w:val="00916637"/>
    <w:rsid w:val="00917334"/>
    <w:rsid w:val="00917CCB"/>
    <w:rsid w:val="00921018"/>
    <w:rsid w:val="00921E71"/>
    <w:rsid w:val="00924C53"/>
    <w:rsid w:val="00926CD9"/>
    <w:rsid w:val="00927F22"/>
    <w:rsid w:val="00930919"/>
    <w:rsid w:val="0093165E"/>
    <w:rsid w:val="00931C3C"/>
    <w:rsid w:val="00932C2A"/>
    <w:rsid w:val="00934C80"/>
    <w:rsid w:val="00935136"/>
    <w:rsid w:val="0093559B"/>
    <w:rsid w:val="009357CD"/>
    <w:rsid w:val="00935CDD"/>
    <w:rsid w:val="009372B5"/>
    <w:rsid w:val="00940254"/>
    <w:rsid w:val="009422F1"/>
    <w:rsid w:val="00942E12"/>
    <w:rsid w:val="00942EC2"/>
    <w:rsid w:val="00943CE5"/>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6D29"/>
    <w:rsid w:val="009675A5"/>
    <w:rsid w:val="00971777"/>
    <w:rsid w:val="00972C7E"/>
    <w:rsid w:val="009733BF"/>
    <w:rsid w:val="009751F6"/>
    <w:rsid w:val="0097550C"/>
    <w:rsid w:val="00976330"/>
    <w:rsid w:val="00980D27"/>
    <w:rsid w:val="00981E36"/>
    <w:rsid w:val="009825B5"/>
    <w:rsid w:val="00982A84"/>
    <w:rsid w:val="0098313D"/>
    <w:rsid w:val="00983928"/>
    <w:rsid w:val="0098396D"/>
    <w:rsid w:val="00987E57"/>
    <w:rsid w:val="00991963"/>
    <w:rsid w:val="0099295E"/>
    <w:rsid w:val="009929FF"/>
    <w:rsid w:val="009950D3"/>
    <w:rsid w:val="009A162F"/>
    <w:rsid w:val="009A1B25"/>
    <w:rsid w:val="009A4EC2"/>
    <w:rsid w:val="009A561E"/>
    <w:rsid w:val="009B1855"/>
    <w:rsid w:val="009B236A"/>
    <w:rsid w:val="009B373D"/>
    <w:rsid w:val="009B3A45"/>
    <w:rsid w:val="009B4165"/>
    <w:rsid w:val="009B51F8"/>
    <w:rsid w:val="009B6177"/>
    <w:rsid w:val="009C0489"/>
    <w:rsid w:val="009C0F0C"/>
    <w:rsid w:val="009C2313"/>
    <w:rsid w:val="009C327F"/>
    <w:rsid w:val="009C3639"/>
    <w:rsid w:val="009C39CA"/>
    <w:rsid w:val="009C4F99"/>
    <w:rsid w:val="009C58C3"/>
    <w:rsid w:val="009C5F8E"/>
    <w:rsid w:val="009C66C6"/>
    <w:rsid w:val="009C6D92"/>
    <w:rsid w:val="009D2B95"/>
    <w:rsid w:val="009D4870"/>
    <w:rsid w:val="009D528F"/>
    <w:rsid w:val="009D6C9C"/>
    <w:rsid w:val="009E21E8"/>
    <w:rsid w:val="009E23D5"/>
    <w:rsid w:val="009E342E"/>
    <w:rsid w:val="009E5073"/>
    <w:rsid w:val="009E5E7E"/>
    <w:rsid w:val="009E643A"/>
    <w:rsid w:val="009E7DA3"/>
    <w:rsid w:val="009F2575"/>
    <w:rsid w:val="009F37B7"/>
    <w:rsid w:val="009F5433"/>
    <w:rsid w:val="009F5E43"/>
    <w:rsid w:val="00A0194F"/>
    <w:rsid w:val="00A02AF3"/>
    <w:rsid w:val="00A02BA9"/>
    <w:rsid w:val="00A03D09"/>
    <w:rsid w:val="00A04574"/>
    <w:rsid w:val="00A04BE1"/>
    <w:rsid w:val="00A05AD4"/>
    <w:rsid w:val="00A06503"/>
    <w:rsid w:val="00A06A32"/>
    <w:rsid w:val="00A06AAF"/>
    <w:rsid w:val="00A06F4F"/>
    <w:rsid w:val="00A07BCF"/>
    <w:rsid w:val="00A102F2"/>
    <w:rsid w:val="00A10F02"/>
    <w:rsid w:val="00A117D6"/>
    <w:rsid w:val="00A13BCD"/>
    <w:rsid w:val="00A13C2E"/>
    <w:rsid w:val="00A14182"/>
    <w:rsid w:val="00A14831"/>
    <w:rsid w:val="00A14D3F"/>
    <w:rsid w:val="00A15F1F"/>
    <w:rsid w:val="00A15F2F"/>
    <w:rsid w:val="00A164B4"/>
    <w:rsid w:val="00A168D7"/>
    <w:rsid w:val="00A16E7E"/>
    <w:rsid w:val="00A20472"/>
    <w:rsid w:val="00A21486"/>
    <w:rsid w:val="00A2152A"/>
    <w:rsid w:val="00A2222B"/>
    <w:rsid w:val="00A227DE"/>
    <w:rsid w:val="00A232E8"/>
    <w:rsid w:val="00A241EF"/>
    <w:rsid w:val="00A26248"/>
    <w:rsid w:val="00A26286"/>
    <w:rsid w:val="00A26956"/>
    <w:rsid w:val="00A3009E"/>
    <w:rsid w:val="00A31634"/>
    <w:rsid w:val="00A32280"/>
    <w:rsid w:val="00A334E3"/>
    <w:rsid w:val="00A3359B"/>
    <w:rsid w:val="00A34836"/>
    <w:rsid w:val="00A359A1"/>
    <w:rsid w:val="00A41830"/>
    <w:rsid w:val="00A41BE4"/>
    <w:rsid w:val="00A517B0"/>
    <w:rsid w:val="00A51810"/>
    <w:rsid w:val="00A52486"/>
    <w:rsid w:val="00A53724"/>
    <w:rsid w:val="00A542F7"/>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6D"/>
    <w:rsid w:val="00A75977"/>
    <w:rsid w:val="00A820FB"/>
    <w:rsid w:val="00A82166"/>
    <w:rsid w:val="00A82346"/>
    <w:rsid w:val="00A83518"/>
    <w:rsid w:val="00A8638F"/>
    <w:rsid w:val="00A9004D"/>
    <w:rsid w:val="00A90F13"/>
    <w:rsid w:val="00A91B94"/>
    <w:rsid w:val="00A92BA1"/>
    <w:rsid w:val="00A942A3"/>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B7038"/>
    <w:rsid w:val="00AB7D8C"/>
    <w:rsid w:val="00AC0150"/>
    <w:rsid w:val="00AC3007"/>
    <w:rsid w:val="00AC3CC6"/>
    <w:rsid w:val="00AC541B"/>
    <w:rsid w:val="00AC56C6"/>
    <w:rsid w:val="00AC5847"/>
    <w:rsid w:val="00AC6BC6"/>
    <w:rsid w:val="00AD0936"/>
    <w:rsid w:val="00AD256E"/>
    <w:rsid w:val="00AD32E7"/>
    <w:rsid w:val="00AD4D49"/>
    <w:rsid w:val="00AD5F64"/>
    <w:rsid w:val="00AD617D"/>
    <w:rsid w:val="00AE151F"/>
    <w:rsid w:val="00AE2B15"/>
    <w:rsid w:val="00AE3797"/>
    <w:rsid w:val="00AE4698"/>
    <w:rsid w:val="00AE60AB"/>
    <w:rsid w:val="00AE6823"/>
    <w:rsid w:val="00AE6EE4"/>
    <w:rsid w:val="00AF1267"/>
    <w:rsid w:val="00AF1B75"/>
    <w:rsid w:val="00AF2977"/>
    <w:rsid w:val="00AF7379"/>
    <w:rsid w:val="00AF7AB0"/>
    <w:rsid w:val="00B0024C"/>
    <w:rsid w:val="00B00BD4"/>
    <w:rsid w:val="00B01A98"/>
    <w:rsid w:val="00B037D2"/>
    <w:rsid w:val="00B03E8E"/>
    <w:rsid w:val="00B04308"/>
    <w:rsid w:val="00B067E0"/>
    <w:rsid w:val="00B10B01"/>
    <w:rsid w:val="00B128FD"/>
    <w:rsid w:val="00B12B07"/>
    <w:rsid w:val="00B1390A"/>
    <w:rsid w:val="00B13E20"/>
    <w:rsid w:val="00B14CCF"/>
    <w:rsid w:val="00B150E6"/>
    <w:rsid w:val="00B15449"/>
    <w:rsid w:val="00B15488"/>
    <w:rsid w:val="00B15FE6"/>
    <w:rsid w:val="00B160F5"/>
    <w:rsid w:val="00B16E7C"/>
    <w:rsid w:val="00B220C1"/>
    <w:rsid w:val="00B224FC"/>
    <w:rsid w:val="00B2448D"/>
    <w:rsid w:val="00B24EBC"/>
    <w:rsid w:val="00B2568A"/>
    <w:rsid w:val="00B27D0B"/>
    <w:rsid w:val="00B31CAA"/>
    <w:rsid w:val="00B3227E"/>
    <w:rsid w:val="00B3241C"/>
    <w:rsid w:val="00B34C43"/>
    <w:rsid w:val="00B35505"/>
    <w:rsid w:val="00B36A7D"/>
    <w:rsid w:val="00B37188"/>
    <w:rsid w:val="00B37C70"/>
    <w:rsid w:val="00B4292E"/>
    <w:rsid w:val="00B44F81"/>
    <w:rsid w:val="00B45F97"/>
    <w:rsid w:val="00B471EA"/>
    <w:rsid w:val="00B50264"/>
    <w:rsid w:val="00B504F7"/>
    <w:rsid w:val="00B5178A"/>
    <w:rsid w:val="00B51CDC"/>
    <w:rsid w:val="00B5302C"/>
    <w:rsid w:val="00B53697"/>
    <w:rsid w:val="00B55583"/>
    <w:rsid w:val="00B56C27"/>
    <w:rsid w:val="00B6070A"/>
    <w:rsid w:val="00B646A5"/>
    <w:rsid w:val="00B65A49"/>
    <w:rsid w:val="00B72AF3"/>
    <w:rsid w:val="00B76FBB"/>
    <w:rsid w:val="00B804A1"/>
    <w:rsid w:val="00B863E2"/>
    <w:rsid w:val="00B9016C"/>
    <w:rsid w:val="00B92829"/>
    <w:rsid w:val="00B92FE4"/>
    <w:rsid w:val="00B93086"/>
    <w:rsid w:val="00B962C7"/>
    <w:rsid w:val="00B9657C"/>
    <w:rsid w:val="00BA19ED"/>
    <w:rsid w:val="00BA2585"/>
    <w:rsid w:val="00BA299D"/>
    <w:rsid w:val="00BA2A3F"/>
    <w:rsid w:val="00BA300B"/>
    <w:rsid w:val="00BA3C49"/>
    <w:rsid w:val="00BA4B8D"/>
    <w:rsid w:val="00BA50B0"/>
    <w:rsid w:val="00BA5F24"/>
    <w:rsid w:val="00BB661C"/>
    <w:rsid w:val="00BB7442"/>
    <w:rsid w:val="00BC0F7D"/>
    <w:rsid w:val="00BC179E"/>
    <w:rsid w:val="00BC201E"/>
    <w:rsid w:val="00BC2130"/>
    <w:rsid w:val="00BC2274"/>
    <w:rsid w:val="00BC227B"/>
    <w:rsid w:val="00BC327A"/>
    <w:rsid w:val="00BC3CE7"/>
    <w:rsid w:val="00BC4BFC"/>
    <w:rsid w:val="00BC6A25"/>
    <w:rsid w:val="00BC6AB1"/>
    <w:rsid w:val="00BC6B35"/>
    <w:rsid w:val="00BD12D9"/>
    <w:rsid w:val="00BD15B9"/>
    <w:rsid w:val="00BD28A6"/>
    <w:rsid w:val="00BD4E13"/>
    <w:rsid w:val="00BD5C78"/>
    <w:rsid w:val="00BD629A"/>
    <w:rsid w:val="00BD62F1"/>
    <w:rsid w:val="00BD69E7"/>
    <w:rsid w:val="00BD7171"/>
    <w:rsid w:val="00BD784E"/>
    <w:rsid w:val="00BD7C56"/>
    <w:rsid w:val="00BE08EF"/>
    <w:rsid w:val="00BE1A7C"/>
    <w:rsid w:val="00BE3255"/>
    <w:rsid w:val="00BE4DF0"/>
    <w:rsid w:val="00BE5078"/>
    <w:rsid w:val="00BF01FB"/>
    <w:rsid w:val="00BF095A"/>
    <w:rsid w:val="00BF128E"/>
    <w:rsid w:val="00BF1591"/>
    <w:rsid w:val="00BF4C3B"/>
    <w:rsid w:val="00BF6574"/>
    <w:rsid w:val="00BF692E"/>
    <w:rsid w:val="00BF6CE4"/>
    <w:rsid w:val="00BF7943"/>
    <w:rsid w:val="00C00555"/>
    <w:rsid w:val="00C00E04"/>
    <w:rsid w:val="00C010CD"/>
    <w:rsid w:val="00C0203B"/>
    <w:rsid w:val="00C0292C"/>
    <w:rsid w:val="00C02C9B"/>
    <w:rsid w:val="00C04A93"/>
    <w:rsid w:val="00C059F9"/>
    <w:rsid w:val="00C05CE0"/>
    <w:rsid w:val="00C0629C"/>
    <w:rsid w:val="00C0777A"/>
    <w:rsid w:val="00C079CE"/>
    <w:rsid w:val="00C12D2F"/>
    <w:rsid w:val="00C1496A"/>
    <w:rsid w:val="00C16008"/>
    <w:rsid w:val="00C1711F"/>
    <w:rsid w:val="00C17557"/>
    <w:rsid w:val="00C17BF7"/>
    <w:rsid w:val="00C2036A"/>
    <w:rsid w:val="00C237C4"/>
    <w:rsid w:val="00C2728A"/>
    <w:rsid w:val="00C31FAB"/>
    <w:rsid w:val="00C33079"/>
    <w:rsid w:val="00C331E9"/>
    <w:rsid w:val="00C34D05"/>
    <w:rsid w:val="00C358C6"/>
    <w:rsid w:val="00C371F9"/>
    <w:rsid w:val="00C375A9"/>
    <w:rsid w:val="00C40EAD"/>
    <w:rsid w:val="00C45231"/>
    <w:rsid w:val="00C4751A"/>
    <w:rsid w:val="00C5093D"/>
    <w:rsid w:val="00C50995"/>
    <w:rsid w:val="00C509CE"/>
    <w:rsid w:val="00C50DF3"/>
    <w:rsid w:val="00C53DE8"/>
    <w:rsid w:val="00C54C23"/>
    <w:rsid w:val="00C54E52"/>
    <w:rsid w:val="00C5522B"/>
    <w:rsid w:val="00C573FC"/>
    <w:rsid w:val="00C575E9"/>
    <w:rsid w:val="00C57E50"/>
    <w:rsid w:val="00C61895"/>
    <w:rsid w:val="00C628BE"/>
    <w:rsid w:val="00C64182"/>
    <w:rsid w:val="00C6701F"/>
    <w:rsid w:val="00C677C1"/>
    <w:rsid w:val="00C67AD0"/>
    <w:rsid w:val="00C71DA1"/>
    <w:rsid w:val="00C72833"/>
    <w:rsid w:val="00C74FF0"/>
    <w:rsid w:val="00C75321"/>
    <w:rsid w:val="00C7582B"/>
    <w:rsid w:val="00C76BB0"/>
    <w:rsid w:val="00C77CBD"/>
    <w:rsid w:val="00C80F1D"/>
    <w:rsid w:val="00C81197"/>
    <w:rsid w:val="00C826FE"/>
    <w:rsid w:val="00C84C0F"/>
    <w:rsid w:val="00C86E11"/>
    <w:rsid w:val="00C87227"/>
    <w:rsid w:val="00C90E0A"/>
    <w:rsid w:val="00C90FE2"/>
    <w:rsid w:val="00C91F36"/>
    <w:rsid w:val="00C926E0"/>
    <w:rsid w:val="00C92A14"/>
    <w:rsid w:val="00C92A96"/>
    <w:rsid w:val="00C92B00"/>
    <w:rsid w:val="00C93A32"/>
    <w:rsid w:val="00C93F40"/>
    <w:rsid w:val="00C94ACC"/>
    <w:rsid w:val="00C97868"/>
    <w:rsid w:val="00C97EE8"/>
    <w:rsid w:val="00CA146F"/>
    <w:rsid w:val="00CA151B"/>
    <w:rsid w:val="00CA2622"/>
    <w:rsid w:val="00CA3D0C"/>
    <w:rsid w:val="00CA41F0"/>
    <w:rsid w:val="00CA4213"/>
    <w:rsid w:val="00CA4670"/>
    <w:rsid w:val="00CA48A1"/>
    <w:rsid w:val="00CA510C"/>
    <w:rsid w:val="00CA510E"/>
    <w:rsid w:val="00CA53AC"/>
    <w:rsid w:val="00CB2D58"/>
    <w:rsid w:val="00CB3534"/>
    <w:rsid w:val="00CB45A1"/>
    <w:rsid w:val="00CB69DE"/>
    <w:rsid w:val="00CB7AD0"/>
    <w:rsid w:val="00CC030E"/>
    <w:rsid w:val="00CC0B80"/>
    <w:rsid w:val="00CC1BA0"/>
    <w:rsid w:val="00CC3116"/>
    <w:rsid w:val="00CC3947"/>
    <w:rsid w:val="00CC3FFD"/>
    <w:rsid w:val="00CC5BE3"/>
    <w:rsid w:val="00CD15E7"/>
    <w:rsid w:val="00CD1AAF"/>
    <w:rsid w:val="00CD398D"/>
    <w:rsid w:val="00CD5CF4"/>
    <w:rsid w:val="00CE0B91"/>
    <w:rsid w:val="00CE1748"/>
    <w:rsid w:val="00CE1B41"/>
    <w:rsid w:val="00CE1D47"/>
    <w:rsid w:val="00CE2F48"/>
    <w:rsid w:val="00CE4FD5"/>
    <w:rsid w:val="00CE608B"/>
    <w:rsid w:val="00CE6614"/>
    <w:rsid w:val="00CE6DD7"/>
    <w:rsid w:val="00CF054E"/>
    <w:rsid w:val="00CF20E3"/>
    <w:rsid w:val="00CF30A9"/>
    <w:rsid w:val="00CF3841"/>
    <w:rsid w:val="00CF620C"/>
    <w:rsid w:val="00CF65B5"/>
    <w:rsid w:val="00D00BA3"/>
    <w:rsid w:val="00D05335"/>
    <w:rsid w:val="00D05C22"/>
    <w:rsid w:val="00D07B82"/>
    <w:rsid w:val="00D1495D"/>
    <w:rsid w:val="00D165A8"/>
    <w:rsid w:val="00D16BB2"/>
    <w:rsid w:val="00D17EB6"/>
    <w:rsid w:val="00D20C25"/>
    <w:rsid w:val="00D21661"/>
    <w:rsid w:val="00D22187"/>
    <w:rsid w:val="00D22803"/>
    <w:rsid w:val="00D237ED"/>
    <w:rsid w:val="00D238B2"/>
    <w:rsid w:val="00D23A6D"/>
    <w:rsid w:val="00D23F96"/>
    <w:rsid w:val="00D2683C"/>
    <w:rsid w:val="00D309CC"/>
    <w:rsid w:val="00D32320"/>
    <w:rsid w:val="00D324F9"/>
    <w:rsid w:val="00D33957"/>
    <w:rsid w:val="00D35FEF"/>
    <w:rsid w:val="00D4156E"/>
    <w:rsid w:val="00D41D01"/>
    <w:rsid w:val="00D438FA"/>
    <w:rsid w:val="00D4587A"/>
    <w:rsid w:val="00D463D6"/>
    <w:rsid w:val="00D46431"/>
    <w:rsid w:val="00D46607"/>
    <w:rsid w:val="00D47831"/>
    <w:rsid w:val="00D51087"/>
    <w:rsid w:val="00D555DA"/>
    <w:rsid w:val="00D56A52"/>
    <w:rsid w:val="00D57972"/>
    <w:rsid w:val="00D603CA"/>
    <w:rsid w:val="00D62743"/>
    <w:rsid w:val="00D63135"/>
    <w:rsid w:val="00D647B5"/>
    <w:rsid w:val="00D653C6"/>
    <w:rsid w:val="00D6592A"/>
    <w:rsid w:val="00D6617E"/>
    <w:rsid w:val="00D675A9"/>
    <w:rsid w:val="00D67D1F"/>
    <w:rsid w:val="00D70A38"/>
    <w:rsid w:val="00D71468"/>
    <w:rsid w:val="00D71786"/>
    <w:rsid w:val="00D725F4"/>
    <w:rsid w:val="00D73555"/>
    <w:rsid w:val="00D738D6"/>
    <w:rsid w:val="00D74B53"/>
    <w:rsid w:val="00D74E7B"/>
    <w:rsid w:val="00D755EB"/>
    <w:rsid w:val="00D80235"/>
    <w:rsid w:val="00D8086A"/>
    <w:rsid w:val="00D81B4C"/>
    <w:rsid w:val="00D822AE"/>
    <w:rsid w:val="00D83D56"/>
    <w:rsid w:val="00D84D58"/>
    <w:rsid w:val="00D8507E"/>
    <w:rsid w:val="00D87CEF"/>
    <w:rsid w:val="00D87E00"/>
    <w:rsid w:val="00D90060"/>
    <w:rsid w:val="00D91258"/>
    <w:rsid w:val="00D9134D"/>
    <w:rsid w:val="00D92E1E"/>
    <w:rsid w:val="00D93D6A"/>
    <w:rsid w:val="00D94AC9"/>
    <w:rsid w:val="00D962C5"/>
    <w:rsid w:val="00D967A2"/>
    <w:rsid w:val="00D975F5"/>
    <w:rsid w:val="00D97761"/>
    <w:rsid w:val="00D97CE6"/>
    <w:rsid w:val="00DA3B10"/>
    <w:rsid w:val="00DA3C0D"/>
    <w:rsid w:val="00DA4E3C"/>
    <w:rsid w:val="00DA7A03"/>
    <w:rsid w:val="00DB06CF"/>
    <w:rsid w:val="00DB0BC8"/>
    <w:rsid w:val="00DB1818"/>
    <w:rsid w:val="00DB26B1"/>
    <w:rsid w:val="00DB349A"/>
    <w:rsid w:val="00DB4052"/>
    <w:rsid w:val="00DB5DA1"/>
    <w:rsid w:val="00DB76DB"/>
    <w:rsid w:val="00DB79F7"/>
    <w:rsid w:val="00DB7C12"/>
    <w:rsid w:val="00DC309B"/>
    <w:rsid w:val="00DC353B"/>
    <w:rsid w:val="00DC4DA2"/>
    <w:rsid w:val="00DD07AA"/>
    <w:rsid w:val="00DD48CA"/>
    <w:rsid w:val="00DD4C17"/>
    <w:rsid w:val="00DD4D52"/>
    <w:rsid w:val="00DD5B2B"/>
    <w:rsid w:val="00DD6E9C"/>
    <w:rsid w:val="00DD7FAC"/>
    <w:rsid w:val="00DE0297"/>
    <w:rsid w:val="00DE0507"/>
    <w:rsid w:val="00DE0987"/>
    <w:rsid w:val="00DE1BDE"/>
    <w:rsid w:val="00DE227C"/>
    <w:rsid w:val="00DE4574"/>
    <w:rsid w:val="00DE55C3"/>
    <w:rsid w:val="00DE69C6"/>
    <w:rsid w:val="00DE7AA0"/>
    <w:rsid w:val="00DF19EA"/>
    <w:rsid w:val="00DF1E17"/>
    <w:rsid w:val="00DF2B1F"/>
    <w:rsid w:val="00DF33DB"/>
    <w:rsid w:val="00DF6189"/>
    <w:rsid w:val="00DF62CD"/>
    <w:rsid w:val="00DF63C1"/>
    <w:rsid w:val="00DF6424"/>
    <w:rsid w:val="00DF6ABF"/>
    <w:rsid w:val="00E02F18"/>
    <w:rsid w:val="00E03AA2"/>
    <w:rsid w:val="00E0431F"/>
    <w:rsid w:val="00E05ABC"/>
    <w:rsid w:val="00E06316"/>
    <w:rsid w:val="00E07A70"/>
    <w:rsid w:val="00E07AA3"/>
    <w:rsid w:val="00E114A9"/>
    <w:rsid w:val="00E13F78"/>
    <w:rsid w:val="00E16509"/>
    <w:rsid w:val="00E167A5"/>
    <w:rsid w:val="00E16985"/>
    <w:rsid w:val="00E21610"/>
    <w:rsid w:val="00E22051"/>
    <w:rsid w:val="00E234BB"/>
    <w:rsid w:val="00E235DB"/>
    <w:rsid w:val="00E23661"/>
    <w:rsid w:val="00E2376C"/>
    <w:rsid w:val="00E23E7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6A3C"/>
    <w:rsid w:val="00E471F4"/>
    <w:rsid w:val="00E50F5D"/>
    <w:rsid w:val="00E513C1"/>
    <w:rsid w:val="00E52814"/>
    <w:rsid w:val="00E54B95"/>
    <w:rsid w:val="00E62D5A"/>
    <w:rsid w:val="00E64596"/>
    <w:rsid w:val="00E6485D"/>
    <w:rsid w:val="00E670E7"/>
    <w:rsid w:val="00E672B0"/>
    <w:rsid w:val="00E709D4"/>
    <w:rsid w:val="00E72324"/>
    <w:rsid w:val="00E725DD"/>
    <w:rsid w:val="00E72ABE"/>
    <w:rsid w:val="00E73578"/>
    <w:rsid w:val="00E74333"/>
    <w:rsid w:val="00E74B5D"/>
    <w:rsid w:val="00E77645"/>
    <w:rsid w:val="00E80040"/>
    <w:rsid w:val="00E808A6"/>
    <w:rsid w:val="00E828D4"/>
    <w:rsid w:val="00E853F2"/>
    <w:rsid w:val="00E861A6"/>
    <w:rsid w:val="00E922FE"/>
    <w:rsid w:val="00E95F5E"/>
    <w:rsid w:val="00E963F7"/>
    <w:rsid w:val="00E97F17"/>
    <w:rsid w:val="00EA4492"/>
    <w:rsid w:val="00EA4AD5"/>
    <w:rsid w:val="00EA67D7"/>
    <w:rsid w:val="00EB061A"/>
    <w:rsid w:val="00EB1120"/>
    <w:rsid w:val="00EB1575"/>
    <w:rsid w:val="00EB271D"/>
    <w:rsid w:val="00EB291F"/>
    <w:rsid w:val="00EB36BA"/>
    <w:rsid w:val="00EB7E28"/>
    <w:rsid w:val="00EC14B1"/>
    <w:rsid w:val="00EC17AD"/>
    <w:rsid w:val="00EC24D5"/>
    <w:rsid w:val="00EC25E7"/>
    <w:rsid w:val="00EC3927"/>
    <w:rsid w:val="00EC4847"/>
    <w:rsid w:val="00EC4A25"/>
    <w:rsid w:val="00EC4F16"/>
    <w:rsid w:val="00EC54B2"/>
    <w:rsid w:val="00EC55DC"/>
    <w:rsid w:val="00EC6AC3"/>
    <w:rsid w:val="00EC7246"/>
    <w:rsid w:val="00ED4A60"/>
    <w:rsid w:val="00ED729A"/>
    <w:rsid w:val="00EE0137"/>
    <w:rsid w:val="00EE0B97"/>
    <w:rsid w:val="00EE16B7"/>
    <w:rsid w:val="00EE2ECB"/>
    <w:rsid w:val="00EE35F1"/>
    <w:rsid w:val="00EE4122"/>
    <w:rsid w:val="00EE5AA7"/>
    <w:rsid w:val="00EE683F"/>
    <w:rsid w:val="00EE7844"/>
    <w:rsid w:val="00EF1417"/>
    <w:rsid w:val="00EF2D8D"/>
    <w:rsid w:val="00EF3A0C"/>
    <w:rsid w:val="00EF434A"/>
    <w:rsid w:val="00EF4EB7"/>
    <w:rsid w:val="00EF6BAF"/>
    <w:rsid w:val="00EF70F3"/>
    <w:rsid w:val="00F00E34"/>
    <w:rsid w:val="00F00FF8"/>
    <w:rsid w:val="00F01F22"/>
    <w:rsid w:val="00F01F84"/>
    <w:rsid w:val="00F025A2"/>
    <w:rsid w:val="00F02751"/>
    <w:rsid w:val="00F02869"/>
    <w:rsid w:val="00F03CA7"/>
    <w:rsid w:val="00F04712"/>
    <w:rsid w:val="00F047F8"/>
    <w:rsid w:val="00F06C24"/>
    <w:rsid w:val="00F06F13"/>
    <w:rsid w:val="00F10C13"/>
    <w:rsid w:val="00F1251B"/>
    <w:rsid w:val="00F15570"/>
    <w:rsid w:val="00F169CF"/>
    <w:rsid w:val="00F17BC7"/>
    <w:rsid w:val="00F200BB"/>
    <w:rsid w:val="00F21311"/>
    <w:rsid w:val="00F229FC"/>
    <w:rsid w:val="00F22EC7"/>
    <w:rsid w:val="00F26D2F"/>
    <w:rsid w:val="00F32234"/>
    <w:rsid w:val="00F32507"/>
    <w:rsid w:val="00F325C8"/>
    <w:rsid w:val="00F3347C"/>
    <w:rsid w:val="00F34849"/>
    <w:rsid w:val="00F35A8C"/>
    <w:rsid w:val="00F35E69"/>
    <w:rsid w:val="00F4310F"/>
    <w:rsid w:val="00F46B7B"/>
    <w:rsid w:val="00F479BC"/>
    <w:rsid w:val="00F47A34"/>
    <w:rsid w:val="00F54BE6"/>
    <w:rsid w:val="00F55C49"/>
    <w:rsid w:val="00F55F74"/>
    <w:rsid w:val="00F565B6"/>
    <w:rsid w:val="00F62AEB"/>
    <w:rsid w:val="00F63525"/>
    <w:rsid w:val="00F644CD"/>
    <w:rsid w:val="00F653B8"/>
    <w:rsid w:val="00F662C2"/>
    <w:rsid w:val="00F70647"/>
    <w:rsid w:val="00F70773"/>
    <w:rsid w:val="00F71C69"/>
    <w:rsid w:val="00F722E2"/>
    <w:rsid w:val="00F72F4F"/>
    <w:rsid w:val="00F7495C"/>
    <w:rsid w:val="00F77B99"/>
    <w:rsid w:val="00F77D67"/>
    <w:rsid w:val="00F808F0"/>
    <w:rsid w:val="00F80F5C"/>
    <w:rsid w:val="00F83947"/>
    <w:rsid w:val="00F85BD1"/>
    <w:rsid w:val="00F87D29"/>
    <w:rsid w:val="00F87FFD"/>
    <w:rsid w:val="00F90B00"/>
    <w:rsid w:val="00F91F02"/>
    <w:rsid w:val="00F92595"/>
    <w:rsid w:val="00F92945"/>
    <w:rsid w:val="00F92BEB"/>
    <w:rsid w:val="00F9573C"/>
    <w:rsid w:val="00FA08E1"/>
    <w:rsid w:val="00FA09D0"/>
    <w:rsid w:val="00FA1266"/>
    <w:rsid w:val="00FA29A4"/>
    <w:rsid w:val="00FA3A4C"/>
    <w:rsid w:val="00FB03DC"/>
    <w:rsid w:val="00FB133A"/>
    <w:rsid w:val="00FB2159"/>
    <w:rsid w:val="00FB4DCE"/>
    <w:rsid w:val="00FB50B5"/>
    <w:rsid w:val="00FB586F"/>
    <w:rsid w:val="00FB59CE"/>
    <w:rsid w:val="00FB645D"/>
    <w:rsid w:val="00FB6A3D"/>
    <w:rsid w:val="00FB7308"/>
    <w:rsid w:val="00FC1192"/>
    <w:rsid w:val="00FC43F3"/>
    <w:rsid w:val="00FC5FC2"/>
    <w:rsid w:val="00FC60A7"/>
    <w:rsid w:val="00FC7411"/>
    <w:rsid w:val="00FD2950"/>
    <w:rsid w:val="00FD3579"/>
    <w:rsid w:val="00FD432B"/>
    <w:rsid w:val="00FD4920"/>
    <w:rsid w:val="00FD63FE"/>
    <w:rsid w:val="00FD6763"/>
    <w:rsid w:val="00FD67F0"/>
    <w:rsid w:val="00FD72EF"/>
    <w:rsid w:val="00FE14B1"/>
    <w:rsid w:val="00FE4C2D"/>
    <w:rsid w:val="00FE7684"/>
    <w:rsid w:val="00FF12D1"/>
    <w:rsid w:val="00FF135C"/>
    <w:rsid w:val="00FF187D"/>
    <w:rsid w:val="00FF2138"/>
    <w:rsid w:val="00FF27B3"/>
    <w:rsid w:val="00FF6BE4"/>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TotalTime>
  <Pages>6</Pages>
  <Words>2141</Words>
  <Characters>12206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14319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2024-10-04T18:07:00Z</dcterms:created>
  <dcterms:modified xsi:type="dcterms:W3CDTF">2024-10-05T01:36:00Z</dcterms:modified>
  <cp:category/>
</cp:coreProperties>
</file>